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21BCC" w14:textId="77777777" w:rsidR="005B2F87" w:rsidRDefault="001303CB" w:rsidP="00204933">
      <w:pPr>
        <w:jc w:val="center"/>
        <w:rPr>
          <w:b/>
        </w:rPr>
      </w:pPr>
      <w:r>
        <w:rPr>
          <w:b/>
        </w:rPr>
        <w:t>C</w:t>
      </w:r>
      <w:r w:rsidR="006228BE">
        <w:rPr>
          <w:b/>
        </w:rPr>
        <w:t>onsidering</w:t>
      </w:r>
      <w:r>
        <w:rPr>
          <w:b/>
        </w:rPr>
        <w:t xml:space="preserve"> </w:t>
      </w:r>
      <w:r w:rsidR="006228BE">
        <w:rPr>
          <w:b/>
        </w:rPr>
        <w:t>status</w:t>
      </w:r>
      <w:r w:rsidR="00204933" w:rsidRPr="003D40B3">
        <w:rPr>
          <w:b/>
        </w:rPr>
        <w:t xml:space="preserve"> when </w:t>
      </w:r>
      <w:r w:rsidR="00A61514">
        <w:rPr>
          <w:b/>
        </w:rPr>
        <w:t>representing</w:t>
      </w:r>
      <w:r w:rsidR="00204933" w:rsidRPr="003D40B3">
        <w:rPr>
          <w:b/>
        </w:rPr>
        <w:t xml:space="preserve"> EEA nationals </w:t>
      </w:r>
    </w:p>
    <w:p w14:paraId="48CD8BC8" w14:textId="0C231C56" w:rsidR="006627A2" w:rsidRPr="006627A2" w:rsidRDefault="43998D6F" w:rsidP="43998D6F">
      <w:pPr>
        <w:jc w:val="center"/>
        <w:rPr>
          <w:b/>
          <w:bCs/>
          <w:i/>
          <w:iCs/>
        </w:rPr>
      </w:pPr>
      <w:r w:rsidRPr="43998D6F">
        <w:rPr>
          <w:b/>
          <w:bCs/>
        </w:rPr>
        <w:t xml:space="preserve">Part A  </w:t>
      </w:r>
    </w:p>
    <w:p w14:paraId="12E7D27B" w14:textId="6E111F57" w:rsidR="006627A2" w:rsidRPr="006627A2" w:rsidRDefault="43998D6F" w:rsidP="43998D6F">
      <w:pPr>
        <w:jc w:val="center"/>
        <w:rPr>
          <w:b/>
          <w:bCs/>
          <w:i/>
          <w:iCs/>
        </w:rPr>
      </w:pPr>
      <w:r w:rsidRPr="43998D6F">
        <w:rPr>
          <w:b/>
          <w:bCs/>
          <w:i/>
          <w:iCs/>
        </w:rPr>
        <w:t xml:space="preserve">For representatives, advocates, support workers, and agencies working with victims of trafficking </w:t>
      </w:r>
    </w:p>
    <w:p w14:paraId="558F28F9" w14:textId="77777777" w:rsidR="00204933" w:rsidRPr="00A67AD1" w:rsidRDefault="003D40B3">
      <w:r w:rsidRPr="00A67AD1">
        <w:t xml:space="preserve">Myth: </w:t>
      </w:r>
      <w:r w:rsidR="00204933" w:rsidRPr="00A67AD1">
        <w:t xml:space="preserve">My client </w:t>
      </w:r>
      <w:proofErr w:type="gramStart"/>
      <w:r w:rsidR="00204933" w:rsidRPr="00A67AD1">
        <w:t>doesn’t</w:t>
      </w:r>
      <w:proofErr w:type="gramEnd"/>
      <w:r w:rsidR="00204933" w:rsidRPr="00A67AD1">
        <w:t xml:space="preserve"> need immigration advice; they are an EEA national. </w:t>
      </w:r>
    </w:p>
    <w:p w14:paraId="7023ABC6" w14:textId="3D932CAB" w:rsidR="003D40B3" w:rsidRPr="00A67AD1" w:rsidRDefault="003D40B3">
      <w:r w:rsidRPr="00A67AD1">
        <w:t>Truth: In the UK</w:t>
      </w:r>
      <w:r w:rsidR="009C4BF5" w:rsidRPr="00A67AD1">
        <w:t>,</w:t>
      </w:r>
      <w:r w:rsidRPr="00A67AD1">
        <w:t xml:space="preserve"> </w:t>
      </w:r>
      <w:r w:rsidR="009773D9" w:rsidRPr="00A67AD1">
        <w:t>EEA nationals do not enjoy</w:t>
      </w:r>
      <w:r w:rsidR="00204933" w:rsidRPr="00A67AD1">
        <w:t xml:space="preserve"> automatic residence rights</w:t>
      </w:r>
      <w:r w:rsidR="009773D9" w:rsidRPr="00A67AD1">
        <w:t xml:space="preserve"> and recourse to public funds</w:t>
      </w:r>
      <w:r w:rsidRPr="00A67AD1">
        <w:t>,</w:t>
      </w:r>
      <w:r w:rsidR="00204933" w:rsidRPr="00A67AD1">
        <w:t xml:space="preserve"> unless they are exercising their</w:t>
      </w:r>
      <w:r w:rsidR="00A61514" w:rsidRPr="00A67AD1">
        <w:t xml:space="preserve"> EEA</w:t>
      </w:r>
      <w:r w:rsidR="00204933" w:rsidRPr="00A67AD1">
        <w:t xml:space="preserve"> treaty rights</w:t>
      </w:r>
      <w:r w:rsidRPr="00A67AD1">
        <w:t xml:space="preserve"> </w:t>
      </w:r>
      <w:r w:rsidR="00C765E1" w:rsidRPr="00A67AD1">
        <w:t>(</w:t>
      </w:r>
      <w:r w:rsidRPr="00A67AD1">
        <w:t>and can prove this</w:t>
      </w:r>
      <w:r w:rsidR="00C765E1" w:rsidRPr="00A67AD1">
        <w:t>)</w:t>
      </w:r>
      <w:r w:rsidRPr="00A67AD1">
        <w:t>. Unfortunately, this has meant that numerous victims</w:t>
      </w:r>
      <w:r w:rsidR="009773D9" w:rsidRPr="00A67AD1">
        <w:t xml:space="preserve"> who are EEA nationals</w:t>
      </w:r>
      <w:r w:rsidR="003F1A1D" w:rsidRPr="00A67AD1">
        <w:t>,</w:t>
      </w:r>
      <w:r w:rsidR="009773D9" w:rsidRPr="00A67AD1">
        <w:t xml:space="preserve"> and</w:t>
      </w:r>
      <w:r w:rsidRPr="00A67AD1">
        <w:t xml:space="preserve"> </w:t>
      </w:r>
      <w:r w:rsidR="009301A4" w:rsidRPr="00A67AD1">
        <w:t>who</w:t>
      </w:r>
      <w:r w:rsidRPr="00A67AD1">
        <w:t xml:space="preserve"> are unable to work</w:t>
      </w:r>
      <w:r w:rsidR="003F1A1D" w:rsidRPr="00A67AD1">
        <w:t>,</w:t>
      </w:r>
      <w:r w:rsidR="009773D9" w:rsidRPr="00A67AD1">
        <w:t xml:space="preserve"> </w:t>
      </w:r>
      <w:r w:rsidRPr="00A67AD1">
        <w:t>face destitution</w:t>
      </w:r>
      <w:r w:rsidR="005A1C39" w:rsidRPr="00A67AD1">
        <w:t xml:space="preserve"> on exiting the NRM</w:t>
      </w:r>
      <w:r w:rsidR="009773D9" w:rsidRPr="00A67AD1">
        <w:t>,</w:t>
      </w:r>
      <w:r w:rsidR="009301A4" w:rsidRPr="00A67AD1">
        <w:t xml:space="preserve"> and even deportation</w:t>
      </w:r>
      <w:r w:rsidRPr="00A67AD1">
        <w:t>.</w:t>
      </w:r>
    </w:p>
    <w:p w14:paraId="4E7586E2" w14:textId="73F07B71" w:rsidR="00034545" w:rsidRDefault="003D40B3" w:rsidP="00742D57">
      <w:r>
        <w:t xml:space="preserve">In order to ensure the option of </w:t>
      </w:r>
      <w:r w:rsidR="00034545">
        <w:t>longer-term</w:t>
      </w:r>
      <w:r>
        <w:t xml:space="preserve"> state support for victims, and </w:t>
      </w:r>
      <w:r w:rsidR="00034545">
        <w:t xml:space="preserve">to </w:t>
      </w:r>
      <w:r>
        <w:t>mitigate the risk of destitution</w:t>
      </w:r>
      <w:r w:rsidR="00C765E1">
        <w:t xml:space="preserve"> and deportation</w:t>
      </w:r>
      <w:r>
        <w:t>, those assisting victims who are EEA nationals should refer them for immigration advice</w:t>
      </w:r>
      <w:r w:rsidR="009773D9">
        <w:t xml:space="preserve"> as soon as possible</w:t>
      </w:r>
      <w:r>
        <w:t>.</w:t>
      </w:r>
    </w:p>
    <w:p w14:paraId="2381CA89" w14:textId="7199ACAA" w:rsidR="003D40B3" w:rsidRDefault="003D40B3" w:rsidP="00742D57">
      <w:r>
        <w:t xml:space="preserve">An immigration solicitor will be able to advise </w:t>
      </w:r>
      <w:r w:rsidR="00742D57">
        <w:t>the</w:t>
      </w:r>
      <w:r w:rsidR="00034545">
        <w:t xml:space="preserve"> individual</w:t>
      </w:r>
      <w:r w:rsidR="00742D57">
        <w:t xml:space="preserve"> </w:t>
      </w:r>
      <w:r w:rsidR="009773D9">
        <w:t>of</w:t>
      </w:r>
      <w:r>
        <w:t xml:space="preserve"> their options</w:t>
      </w:r>
      <w:r w:rsidR="00742D57">
        <w:t>, for example a grant of leave to remain</w:t>
      </w:r>
      <w:r w:rsidR="00F31059">
        <w:t>,</w:t>
      </w:r>
      <w:r>
        <w:t xml:space="preserve"> such as discretionary leave </w:t>
      </w:r>
      <w:r w:rsidR="00742D57">
        <w:t xml:space="preserve">or indefinite leave under the EU Settlement Scheme. Victims of trafficking </w:t>
      </w:r>
      <w:r w:rsidR="008C0262">
        <w:t xml:space="preserve">with either a Reasonable Grounds or </w:t>
      </w:r>
      <w:r w:rsidR="00F31059">
        <w:t>Conclusive</w:t>
      </w:r>
      <w:r w:rsidR="008C0262">
        <w:t xml:space="preserve"> G</w:t>
      </w:r>
      <w:r w:rsidR="00520895">
        <w:t xml:space="preserve">rounds decision </w:t>
      </w:r>
      <w:r w:rsidR="00742D57">
        <w:t xml:space="preserve">are entitled to legal aid for such advice, and legal aid providers can be found here: </w:t>
      </w:r>
      <w:hyperlink r:id="rId8" w:history="1">
        <w:r w:rsidR="00140DE2">
          <w:rPr>
            <w:rStyle w:val="Hyperlink"/>
          </w:rPr>
          <w:t>https://find-legal-advice.justice.gov.uk/</w:t>
        </w:r>
      </w:hyperlink>
      <w:r w:rsidR="00140DE2">
        <w:t xml:space="preserve"> or on the Law Society’s website</w:t>
      </w:r>
      <w:r w:rsidR="00C765E1">
        <w:t xml:space="preserve">. </w:t>
      </w:r>
      <w:r w:rsidR="00742D57">
        <w:t>With a grant of</w:t>
      </w:r>
      <w:r w:rsidR="00B52298">
        <w:t xml:space="preserve"> discretionary</w:t>
      </w:r>
      <w:r w:rsidR="00742D57">
        <w:t xml:space="preserve"> leave to remain</w:t>
      </w:r>
      <w:r w:rsidR="00B52298">
        <w:t xml:space="preserve"> or indefinite leave to remain</w:t>
      </w:r>
      <w:r w:rsidR="00742D57">
        <w:t xml:space="preserve"> victims </w:t>
      </w:r>
      <w:r w:rsidR="005A1C39">
        <w:t>have recourse to public funds</w:t>
      </w:r>
      <w:r w:rsidR="00A67AD1">
        <w:t xml:space="preserve"> (such as housing benefit and universal credit)</w:t>
      </w:r>
      <w:r w:rsidR="005A1C39">
        <w:t xml:space="preserve"> and </w:t>
      </w:r>
      <w:r w:rsidR="00742D57">
        <w:t xml:space="preserve">are eligible for </w:t>
      </w:r>
      <w:r w:rsidR="008C0262">
        <w:t xml:space="preserve">state health services. </w:t>
      </w:r>
    </w:p>
    <w:p w14:paraId="4543AA22" w14:textId="3F9DD92C" w:rsidR="00742D57" w:rsidRDefault="00F31059">
      <w:r>
        <w:t xml:space="preserve">In the </w:t>
      </w:r>
      <w:proofErr w:type="spellStart"/>
      <w:r w:rsidR="008C0262">
        <w:t>Brexit</w:t>
      </w:r>
      <w:proofErr w:type="spellEnd"/>
      <w:r>
        <w:t xml:space="preserve"> </w:t>
      </w:r>
      <w:proofErr w:type="gramStart"/>
      <w:r>
        <w:t>era</w:t>
      </w:r>
      <w:proofErr w:type="gramEnd"/>
      <w:r w:rsidR="008C0262">
        <w:t xml:space="preserve"> </w:t>
      </w:r>
      <w:r w:rsidR="00A61514">
        <w:t xml:space="preserve">it is even more important </w:t>
      </w:r>
      <w:r w:rsidR="00D36B72">
        <w:t xml:space="preserve">that </w:t>
      </w:r>
      <w:r w:rsidR="00A61514">
        <w:t xml:space="preserve">EEA nationals receive legal advice about their options. </w:t>
      </w:r>
      <w:r w:rsidR="00742D57">
        <w:t xml:space="preserve">However, </w:t>
      </w:r>
      <w:r w:rsidR="00B52298">
        <w:t xml:space="preserve">there are significant challenges </w:t>
      </w:r>
      <w:r w:rsidR="009773D9">
        <w:t>to obtaining that advice.  In</w:t>
      </w:r>
      <w:r w:rsidR="00B52298">
        <w:t xml:space="preserve"> the current legal aid </w:t>
      </w:r>
      <w:r w:rsidR="005B2F87">
        <w:t>climate</w:t>
      </w:r>
      <w:r w:rsidR="00B52298">
        <w:t xml:space="preserve"> it is increasingly difficult to find an immigration solicitor who has capacity and/or the expertise to </w:t>
      </w:r>
      <w:proofErr w:type="gramStart"/>
      <w:r w:rsidR="00B52298">
        <w:t>advise</w:t>
      </w:r>
      <w:proofErr w:type="gramEnd"/>
      <w:r w:rsidR="00B52298">
        <w:t xml:space="preserve"> victims. Further, there is no guarantee that a victim will be eligible for a grant of leave and/or that their application will be processed within a reasonable </w:t>
      </w:r>
      <w:proofErr w:type="gramStart"/>
      <w:r w:rsidR="00B52298">
        <w:t>time period</w:t>
      </w:r>
      <w:proofErr w:type="gramEnd"/>
      <w:r w:rsidR="00B52298">
        <w:t>.</w:t>
      </w:r>
    </w:p>
    <w:p w14:paraId="4FE2B550" w14:textId="3ABEFB38" w:rsidR="00742D57" w:rsidRDefault="009773D9">
      <w:r>
        <w:t>However, t</w:t>
      </w:r>
      <w:r w:rsidR="00D36B72">
        <w:t xml:space="preserve">his </w:t>
      </w:r>
      <w:proofErr w:type="gramStart"/>
      <w:r w:rsidR="00D36B72">
        <w:t>doesn</w:t>
      </w:r>
      <w:r>
        <w:t>’t</w:t>
      </w:r>
      <w:proofErr w:type="gramEnd"/>
      <w:r>
        <w:t xml:space="preserve"> automatically mean the victim</w:t>
      </w:r>
      <w:r w:rsidR="00D36B72">
        <w:t xml:space="preserve"> </w:t>
      </w:r>
      <w:r w:rsidR="00B52298">
        <w:t>is ineligible for support</w:t>
      </w:r>
      <w:r w:rsidR="00D36B72">
        <w:t>. H</w:t>
      </w:r>
      <w:r w:rsidR="00A61514">
        <w:t xml:space="preserve">ousing and welfare representatives, advocates, support workers, and agencies need to </w:t>
      </w:r>
      <w:r w:rsidR="00742D57">
        <w:t>explore whether the</w:t>
      </w:r>
      <w:r w:rsidR="00A61514">
        <w:t>ir</w:t>
      </w:r>
      <w:r w:rsidR="00742D57">
        <w:t xml:space="preserve"> </w:t>
      </w:r>
      <w:r w:rsidR="00D36B72">
        <w:t xml:space="preserve">EEA national </w:t>
      </w:r>
      <w:r w:rsidR="00A61514">
        <w:t xml:space="preserve">client </w:t>
      </w:r>
      <w:r w:rsidR="00742D57">
        <w:t>enjoys status</w:t>
      </w:r>
      <w:r w:rsidR="008C0262">
        <w:t>, including</w:t>
      </w:r>
      <w:r w:rsidR="00742D57">
        <w:t xml:space="preserve"> as a </w:t>
      </w:r>
      <w:r w:rsidR="00A61514">
        <w:t>‘</w:t>
      </w:r>
      <w:r w:rsidR="00742D57">
        <w:t>worker</w:t>
      </w:r>
      <w:r w:rsidR="00A61514">
        <w:t>’</w:t>
      </w:r>
      <w:r w:rsidR="00742D57">
        <w:t xml:space="preserve"> or </w:t>
      </w:r>
      <w:r w:rsidR="00A61514">
        <w:t>‘</w:t>
      </w:r>
      <w:r w:rsidR="00742D57">
        <w:t>retained worker</w:t>
      </w:r>
      <w:r w:rsidR="00A61514">
        <w:t>’, and</w:t>
      </w:r>
      <w:r w:rsidR="00D36B72">
        <w:t xml:space="preserve"> are</w:t>
      </w:r>
      <w:r w:rsidR="00742D57">
        <w:t xml:space="preserve"> therefore eligible </w:t>
      </w:r>
      <w:bookmarkStart w:id="0" w:name="_GoBack"/>
      <w:bookmarkEnd w:id="0"/>
      <w:r w:rsidR="00A61514">
        <w:t xml:space="preserve">for </w:t>
      </w:r>
      <w:r w:rsidR="00F31059">
        <w:t>state</w:t>
      </w:r>
      <w:r w:rsidR="00A61514">
        <w:t xml:space="preserve"> support</w:t>
      </w:r>
      <w:r w:rsidR="00D36B72">
        <w:t xml:space="preserve"> without a grant of leave</w:t>
      </w:r>
      <w:r w:rsidR="005A1C39">
        <w:t>.</w:t>
      </w:r>
      <w:r w:rsidR="005A1C39" w:rsidRPr="005A1C39">
        <w:t xml:space="preserve"> </w:t>
      </w:r>
      <w:r w:rsidR="005A1C39">
        <w:t xml:space="preserve">Further, this </w:t>
      </w:r>
      <w:proofErr w:type="gramStart"/>
      <w:r w:rsidR="005A1C39">
        <w:t>should be explored</w:t>
      </w:r>
      <w:proofErr w:type="gramEnd"/>
      <w:r w:rsidR="005A1C39">
        <w:t xml:space="preserve"> as soon as possible, so that clients’ do not risk losing status, as timing is important.</w:t>
      </w:r>
      <w:r w:rsidR="00D36B72">
        <w:t xml:space="preserve"> </w:t>
      </w:r>
      <w:r w:rsidR="005A1C39">
        <w:t xml:space="preserve"> </w:t>
      </w:r>
      <w:r w:rsidR="00D36B72">
        <w:t xml:space="preserve">In our experience, </w:t>
      </w:r>
      <w:r w:rsidR="005A1C39">
        <w:t xml:space="preserve">if you think your client could have ‘worker’ or ‘retained worker status’, </w:t>
      </w:r>
      <w:r w:rsidR="00D36B72">
        <w:t xml:space="preserve">you </w:t>
      </w:r>
      <w:r w:rsidR="00B52298">
        <w:t>have to make this extremely clear</w:t>
      </w:r>
      <w:r w:rsidR="00D36B72">
        <w:t xml:space="preserve"> </w:t>
      </w:r>
      <w:r w:rsidR="00A61514">
        <w:t xml:space="preserve">to the relevant </w:t>
      </w:r>
      <w:r w:rsidR="00B52298">
        <w:t>decision maker</w:t>
      </w:r>
      <w:r w:rsidR="00D36B72">
        <w:t>, especially as victims frequently lack v</w:t>
      </w:r>
      <w:r w:rsidR="00B52298">
        <w:t>ital evidence to support the assertion</w:t>
      </w:r>
      <w:r w:rsidR="00D36B72">
        <w:t xml:space="preserve"> </w:t>
      </w:r>
      <w:r w:rsidR="005A1C39">
        <w:t xml:space="preserve">they </w:t>
      </w:r>
      <w:r w:rsidR="00D36B72">
        <w:t xml:space="preserve">have status, such as pay slips, due to their exploitation. </w:t>
      </w:r>
    </w:p>
    <w:p w14:paraId="55D09E0E" w14:textId="714BAD7F" w:rsidR="00D36B72" w:rsidRDefault="00D36B72" w:rsidP="00D36B72">
      <w:r>
        <w:t xml:space="preserve">For a quick recap, an EEA national is exercising their treaty rights if they are working (they have worker status). However, they can also </w:t>
      </w:r>
      <w:r w:rsidRPr="009B4794">
        <w:rPr>
          <w:b/>
        </w:rPr>
        <w:t>retain</w:t>
      </w:r>
      <w:r>
        <w:t xml:space="preserve"> their worker status, if:</w:t>
      </w:r>
    </w:p>
    <w:p w14:paraId="1FE405EC" w14:textId="463BE715" w:rsidR="00D36B72" w:rsidRDefault="00D36B72" w:rsidP="00D36B72">
      <w:pPr>
        <w:pStyle w:val="ListParagraph"/>
        <w:numPr>
          <w:ilvl w:val="0"/>
          <w:numId w:val="1"/>
        </w:numPr>
      </w:pPr>
      <w:r>
        <w:t>They are t</w:t>
      </w:r>
      <w:r w:rsidRPr="00D36B72">
        <w:t>emporarily unable to work due to illness or accident</w:t>
      </w:r>
      <w:r>
        <w:t>;</w:t>
      </w:r>
      <w:r w:rsidR="006228BE">
        <w:rPr>
          <w:rStyle w:val="FootnoteReference"/>
        </w:rPr>
        <w:footnoteReference w:id="1"/>
      </w:r>
      <w:r>
        <w:t xml:space="preserve"> or</w:t>
      </w:r>
    </w:p>
    <w:p w14:paraId="255919CA" w14:textId="4E3E61A1" w:rsidR="00D36B72" w:rsidRDefault="00B52298" w:rsidP="004F18C1">
      <w:pPr>
        <w:pStyle w:val="ListParagraph"/>
        <w:numPr>
          <w:ilvl w:val="0"/>
          <w:numId w:val="1"/>
        </w:numPr>
      </w:pPr>
      <w:r>
        <w:t>They are i</w:t>
      </w:r>
      <w:r w:rsidR="00D36B72" w:rsidRPr="00D36B72">
        <w:t xml:space="preserve">nvoluntarily unemployed and registered as a job seeker. </w:t>
      </w:r>
      <w:r w:rsidR="00D36B72">
        <w:t>W</w:t>
      </w:r>
      <w:r w:rsidR="00D36B72" w:rsidRPr="00D36B72">
        <w:t>or</w:t>
      </w:r>
      <w:r w:rsidR="006228BE">
        <w:t xml:space="preserve">ker status </w:t>
      </w:r>
      <w:proofErr w:type="gramStart"/>
      <w:r w:rsidR="006228BE">
        <w:t xml:space="preserve">is </w:t>
      </w:r>
      <w:r w:rsidR="00D36B72">
        <w:t>retained</w:t>
      </w:r>
      <w:proofErr w:type="gramEnd"/>
      <w:r w:rsidR="00D36B72">
        <w:t xml:space="preserve"> for u</w:t>
      </w:r>
      <w:r w:rsidR="00D36B72" w:rsidRPr="00D36B72">
        <w:t>p to 6 months if the</w:t>
      </w:r>
      <w:r w:rsidR="006627A2">
        <w:t>ir time in</w:t>
      </w:r>
      <w:r w:rsidR="00D36B72" w:rsidRPr="00D36B72">
        <w:t xml:space="preserve"> employment was less than a year</w:t>
      </w:r>
      <w:r w:rsidR="006228BE">
        <w:t xml:space="preserve">, and longer if the </w:t>
      </w:r>
      <w:r w:rsidR="006228BE">
        <w:lastRenderedPageBreak/>
        <w:t>employment was for longer than a year</w:t>
      </w:r>
      <w:r w:rsidR="00D36B72" w:rsidRPr="00D36B72">
        <w:t xml:space="preserve">. </w:t>
      </w:r>
      <w:r w:rsidR="00D36B72">
        <w:t>Further, t</w:t>
      </w:r>
      <w:r w:rsidR="00D36B72" w:rsidRPr="00D36B72">
        <w:t xml:space="preserve">he person needs to demonstrate that they have a </w:t>
      </w:r>
      <w:r w:rsidR="006228BE">
        <w:t>genuine chance of getting a job in the future.</w:t>
      </w:r>
      <w:r w:rsidR="006228BE">
        <w:rPr>
          <w:rStyle w:val="FootnoteReference"/>
        </w:rPr>
        <w:footnoteReference w:id="2"/>
      </w:r>
      <w:r w:rsidR="006228BE">
        <w:t xml:space="preserve"> </w:t>
      </w:r>
    </w:p>
    <w:p w14:paraId="14C98032" w14:textId="6BC39FD4" w:rsidR="006228BE" w:rsidRPr="00D36B72" w:rsidRDefault="006228BE" w:rsidP="006228BE">
      <w:proofErr w:type="gramStart"/>
      <w:r>
        <w:t>It’s</w:t>
      </w:r>
      <w:proofErr w:type="gramEnd"/>
      <w:r>
        <w:t xml:space="preserve"> slightly more complex than this, but that’s another blog in itself. </w:t>
      </w:r>
    </w:p>
    <w:p w14:paraId="2D2B7372" w14:textId="77777777" w:rsidR="009B4794" w:rsidRDefault="009301A4">
      <w:r>
        <w:t>So what does this look like in practice?</w:t>
      </w:r>
      <w:r w:rsidR="00F31059">
        <w:t xml:space="preserve"> </w:t>
      </w:r>
    </w:p>
    <w:p w14:paraId="3E18B16D" w14:textId="3982D1E2" w:rsidR="009B4794" w:rsidRDefault="00F31059">
      <w:r>
        <w:t xml:space="preserve">Example A, Universal Credit: </w:t>
      </w:r>
      <w:r w:rsidR="009301A4">
        <w:t xml:space="preserve"> </w:t>
      </w:r>
      <w:r>
        <w:t>w</w:t>
      </w:r>
      <w:r w:rsidR="003D40B3">
        <w:t xml:space="preserve">hen </w:t>
      </w:r>
      <w:r w:rsidR="009301A4">
        <w:t xml:space="preserve">an EEA national makes an application for Universal Credit, before an award </w:t>
      </w:r>
      <w:proofErr w:type="gramStart"/>
      <w:r w:rsidR="009301A4">
        <w:t>is made</w:t>
      </w:r>
      <w:proofErr w:type="gramEnd"/>
      <w:r w:rsidR="00567FC3">
        <w:t>,</w:t>
      </w:r>
      <w:r w:rsidR="009301A4">
        <w:t xml:space="preserve"> a decision maker will first consider whether the individual </w:t>
      </w:r>
      <w:r w:rsidR="00567FC3">
        <w:t>satisfies</w:t>
      </w:r>
      <w:r w:rsidR="009301A4">
        <w:t xml:space="preserve"> the Habitual Residence Test</w:t>
      </w:r>
      <w:r w:rsidR="00AE547C">
        <w:t xml:space="preserve"> (HRT)</w:t>
      </w:r>
      <w:r w:rsidR="009301A4">
        <w:t>.</w:t>
      </w:r>
      <w:r w:rsidR="00B52298">
        <w:rPr>
          <w:rStyle w:val="FootnoteReference"/>
        </w:rPr>
        <w:footnoteReference w:id="3"/>
      </w:r>
      <w:r w:rsidR="009301A4">
        <w:t xml:space="preserve"> Representations and</w:t>
      </w:r>
      <w:r w:rsidR="00567FC3">
        <w:t>/or</w:t>
      </w:r>
      <w:r w:rsidR="009301A4">
        <w:t xml:space="preserve"> evidence </w:t>
      </w:r>
      <w:r w:rsidR="00567FC3">
        <w:t>should be presented to the DWP in order</w:t>
      </w:r>
      <w:r w:rsidR="009301A4">
        <w:t xml:space="preserve"> to show the client has worker/retained worker </w:t>
      </w:r>
      <w:r>
        <w:t xml:space="preserve">(or other) </w:t>
      </w:r>
      <w:r w:rsidR="009301A4">
        <w:t>status</w:t>
      </w:r>
      <w:r>
        <w:t xml:space="preserve"> and ha</w:t>
      </w:r>
      <w:r w:rsidR="00567FC3">
        <w:t xml:space="preserve">s therefore </w:t>
      </w:r>
      <w:r w:rsidR="00C765E1">
        <w:t>satisfied the right to reside element of the HRT</w:t>
      </w:r>
      <w:r w:rsidR="009301A4">
        <w:t xml:space="preserve">. </w:t>
      </w:r>
    </w:p>
    <w:p w14:paraId="043CBB9A" w14:textId="715F64B6" w:rsidR="003D40B3" w:rsidRDefault="00F31059">
      <w:r>
        <w:t xml:space="preserve">Example B, Housing: </w:t>
      </w:r>
      <w:r w:rsidR="00567FC3">
        <w:t>When presen</w:t>
      </w:r>
      <w:r w:rsidR="00AE547C">
        <w:t>ting as homeless to a l</w:t>
      </w:r>
      <w:r w:rsidR="009301A4">
        <w:t xml:space="preserve">ocal </w:t>
      </w:r>
      <w:r w:rsidR="00AE547C">
        <w:t>a</w:t>
      </w:r>
      <w:r w:rsidR="009301A4">
        <w:t>uthority</w:t>
      </w:r>
      <w:r w:rsidR="00567FC3">
        <w:t xml:space="preserve">, the housing officer will make an assessment as to whether the person </w:t>
      </w:r>
      <w:r w:rsidR="00C765E1">
        <w:t>has a right to resid</w:t>
      </w:r>
      <w:r w:rsidR="006627A2">
        <w:t xml:space="preserve">e and is therefore </w:t>
      </w:r>
      <w:r w:rsidR="003D40B3">
        <w:t>‘</w:t>
      </w:r>
      <w:r w:rsidR="001303CB">
        <w:t>eligible</w:t>
      </w:r>
      <w:r w:rsidR="003D40B3">
        <w:t>’</w:t>
      </w:r>
      <w:r w:rsidR="00567FC3">
        <w:t xml:space="preserve"> for housing assistance</w:t>
      </w:r>
      <w:r w:rsidR="00C765E1">
        <w:t xml:space="preserve"> under the Housing Act</w:t>
      </w:r>
      <w:r>
        <w:t xml:space="preserve"> 1996</w:t>
      </w:r>
      <w:r w:rsidR="00567FC3">
        <w:t xml:space="preserve">. Again, representations and/or evidence </w:t>
      </w:r>
      <w:proofErr w:type="gramStart"/>
      <w:r w:rsidR="00567FC3">
        <w:t>should be presented</w:t>
      </w:r>
      <w:proofErr w:type="gramEnd"/>
      <w:r w:rsidR="00567FC3">
        <w:t xml:space="preserve"> </w:t>
      </w:r>
      <w:r w:rsidR="006627A2">
        <w:t>to the l</w:t>
      </w:r>
      <w:r w:rsidR="00C765E1">
        <w:t xml:space="preserve">ocal </w:t>
      </w:r>
      <w:r w:rsidR="006627A2">
        <w:t>a</w:t>
      </w:r>
      <w:r w:rsidR="00C765E1">
        <w:t>uthority</w:t>
      </w:r>
      <w:r w:rsidR="00567FC3">
        <w:t xml:space="preserve"> in order to show the client has worker/retained worker status and is therefore eligible for support.</w:t>
      </w:r>
    </w:p>
    <w:p w14:paraId="60821BD0" w14:textId="73B9FA03" w:rsidR="006627A2" w:rsidRDefault="006627A2" w:rsidP="006627A2">
      <w:r>
        <w:t>My next blog talks about the complexities for victims in evidencing status,</w:t>
      </w:r>
      <w:r w:rsidR="008C0262">
        <w:t xml:space="preserve"> whether it be retained worker or any other alternative status</w:t>
      </w:r>
      <w:r>
        <w:t xml:space="preserve">, and arguments that </w:t>
      </w:r>
      <w:proofErr w:type="gramStart"/>
      <w:r>
        <w:t>can be raised</w:t>
      </w:r>
      <w:proofErr w:type="gramEnd"/>
      <w:r>
        <w:t xml:space="preserve">. </w:t>
      </w:r>
    </w:p>
    <w:p w14:paraId="40B930C3" w14:textId="404159D1" w:rsidR="00520895" w:rsidRPr="00023507" w:rsidRDefault="00520895" w:rsidP="006627A2">
      <w:pPr>
        <w:rPr>
          <w:b/>
          <w:i/>
        </w:rPr>
      </w:pPr>
      <w:r w:rsidRPr="00023507">
        <w:rPr>
          <w:b/>
          <w:i/>
        </w:rPr>
        <w:t xml:space="preserve">Please note this blog post does not constitute immigration advice and </w:t>
      </w:r>
      <w:proofErr w:type="gramStart"/>
      <w:r w:rsidRPr="00023507">
        <w:rPr>
          <w:b/>
          <w:i/>
        </w:rPr>
        <w:t>is not intended to be used and/or</w:t>
      </w:r>
      <w:proofErr w:type="gramEnd"/>
      <w:r w:rsidRPr="00023507">
        <w:rPr>
          <w:b/>
          <w:i/>
        </w:rPr>
        <w:t xml:space="preserve"> distributed as immigration advice </w:t>
      </w:r>
    </w:p>
    <w:p w14:paraId="0D347F57" w14:textId="77777777" w:rsidR="00C765E1" w:rsidRDefault="00C765E1"/>
    <w:p w14:paraId="570C1E77" w14:textId="77777777" w:rsidR="00567FC3" w:rsidRDefault="00567FC3"/>
    <w:p w14:paraId="28F5C03D" w14:textId="77777777" w:rsidR="003D40B3" w:rsidRDefault="003D40B3"/>
    <w:p w14:paraId="76DCADF6" w14:textId="77777777" w:rsidR="00204933" w:rsidRDefault="00204933"/>
    <w:p w14:paraId="0B0AB35A" w14:textId="77777777" w:rsidR="00204933" w:rsidRDefault="00204933"/>
    <w:sectPr w:rsidR="0020493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F84BF9" w16cid:durableId="20963D08"/>
  <w16cid:commentId w16cid:paraId="2D662565" w16cid:durableId="2096409E"/>
  <w16cid:commentId w16cid:paraId="4979964C" w16cid:durableId="209642B2"/>
  <w16cid:commentId w16cid:paraId="0D570DDA" w16cid:durableId="20964408"/>
  <w16cid:commentId w16cid:paraId="0B4C4793" w16cid:durableId="209644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C4CE7" w14:textId="77777777" w:rsidR="00E062A0" w:rsidRDefault="00E062A0" w:rsidP="006228BE">
      <w:pPr>
        <w:spacing w:after="0" w:line="240" w:lineRule="auto"/>
      </w:pPr>
      <w:r>
        <w:separator/>
      </w:r>
    </w:p>
  </w:endnote>
  <w:endnote w:type="continuationSeparator" w:id="0">
    <w:p w14:paraId="46E9C0A2" w14:textId="77777777" w:rsidR="00E062A0" w:rsidRDefault="00E062A0" w:rsidP="0062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41A44" w14:textId="7C3F7C0A" w:rsidR="00E24D44" w:rsidRDefault="00E24D44">
    <w:pPr>
      <w:pStyle w:val="Footer"/>
    </w:pPr>
    <w:r>
      <w:rPr>
        <w:rFonts w:cstheme="minorHAnsi"/>
      </w:rPr>
      <w:t>©</w:t>
    </w:r>
    <w:r>
      <w:t xml:space="preserve"> Hope for Justice, 2019.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E596" w14:textId="77777777" w:rsidR="00E062A0" w:rsidRDefault="00E062A0" w:rsidP="006228BE">
      <w:pPr>
        <w:spacing w:after="0" w:line="240" w:lineRule="auto"/>
      </w:pPr>
      <w:r>
        <w:separator/>
      </w:r>
    </w:p>
  </w:footnote>
  <w:footnote w:type="continuationSeparator" w:id="0">
    <w:p w14:paraId="70A6AAAC" w14:textId="77777777" w:rsidR="00E062A0" w:rsidRDefault="00E062A0" w:rsidP="006228BE">
      <w:pPr>
        <w:spacing w:after="0" w:line="240" w:lineRule="auto"/>
      </w:pPr>
      <w:r>
        <w:continuationSeparator/>
      </w:r>
    </w:p>
  </w:footnote>
  <w:footnote w:id="1">
    <w:p w14:paraId="031CF902" w14:textId="40B0AD3D" w:rsidR="006228BE" w:rsidRDefault="006228BE">
      <w:pPr>
        <w:pStyle w:val="FootnoteText"/>
      </w:pPr>
      <w:r w:rsidRPr="00520895">
        <w:rPr>
          <w:rStyle w:val="FootnoteReference"/>
        </w:rPr>
        <w:footnoteRef/>
      </w:r>
      <w:r w:rsidRPr="00520895">
        <w:rPr>
          <w:rStyle w:val="FootnoteReference"/>
        </w:rPr>
        <w:t xml:space="preserve"> </w:t>
      </w:r>
      <w:r w:rsidR="00520895" w:rsidRPr="00520895">
        <w:rPr>
          <w:szCs w:val="22"/>
        </w:rPr>
        <w:t>The Immigration (European Economic Area) Regulations 2016</w:t>
      </w:r>
      <w:r w:rsidR="00520895">
        <w:rPr>
          <w:szCs w:val="22"/>
        </w:rPr>
        <w:t>,</w:t>
      </w:r>
      <w:r w:rsidR="00520895" w:rsidRPr="00520895">
        <w:rPr>
          <w:szCs w:val="22"/>
        </w:rPr>
        <w:t xml:space="preserve"> </w:t>
      </w:r>
      <w:r w:rsidR="00520895">
        <w:rPr>
          <w:szCs w:val="22"/>
        </w:rPr>
        <w:t xml:space="preserve">Section </w:t>
      </w:r>
      <w:r w:rsidR="00520895" w:rsidRPr="00520895">
        <w:rPr>
          <w:szCs w:val="22"/>
        </w:rPr>
        <w:t>6 (2)(a)</w:t>
      </w:r>
    </w:p>
  </w:footnote>
  <w:footnote w:id="2">
    <w:p w14:paraId="1E998F54" w14:textId="1868DFCF" w:rsidR="006228BE" w:rsidRDefault="006228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40DE2" w:rsidRPr="00520895">
        <w:rPr>
          <w:szCs w:val="22"/>
        </w:rPr>
        <w:t>The Immigration (European Economic Area) Regulations 2016</w:t>
      </w:r>
      <w:r w:rsidR="00140DE2">
        <w:rPr>
          <w:szCs w:val="22"/>
        </w:rPr>
        <w:t>,</w:t>
      </w:r>
      <w:r w:rsidR="00140DE2" w:rsidRPr="00520895">
        <w:rPr>
          <w:szCs w:val="22"/>
        </w:rPr>
        <w:t xml:space="preserve"> </w:t>
      </w:r>
      <w:r w:rsidR="00140DE2">
        <w:rPr>
          <w:szCs w:val="22"/>
        </w:rPr>
        <w:t xml:space="preserve">Section </w:t>
      </w:r>
      <w:r w:rsidR="00140DE2" w:rsidRPr="00520895">
        <w:rPr>
          <w:szCs w:val="22"/>
        </w:rPr>
        <w:t>6 (2)</w:t>
      </w:r>
      <w:r w:rsidR="00140DE2">
        <w:rPr>
          <w:szCs w:val="22"/>
        </w:rPr>
        <w:t>(b</w:t>
      </w:r>
      <w:r w:rsidR="00140DE2" w:rsidRPr="00520895">
        <w:rPr>
          <w:szCs w:val="22"/>
        </w:rPr>
        <w:t>)</w:t>
      </w:r>
      <w:r w:rsidR="00140DE2">
        <w:rPr>
          <w:szCs w:val="22"/>
        </w:rPr>
        <w:t>, (2)(c) and (3)</w:t>
      </w:r>
    </w:p>
  </w:footnote>
  <w:footnote w:id="3">
    <w:p w14:paraId="0F87A715" w14:textId="1E62FA05" w:rsidR="00B52298" w:rsidRDefault="00B522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5A1C39">
        <w:t>Technically</w:t>
      </w:r>
      <w:proofErr w:type="gramEnd"/>
      <w:r w:rsidR="005A1C39">
        <w:t xml:space="preserve"> if you are a ‘worker’ or ‘retained worker’ you are exempt from the HRT (UC </w:t>
      </w:r>
      <w:proofErr w:type="spellStart"/>
      <w:r w:rsidR="005A1C39">
        <w:t>Reg</w:t>
      </w:r>
      <w:proofErr w:type="spellEnd"/>
      <w:r w:rsidR="005A1C39">
        <w:t xml:space="preserve"> 9(4) UC </w:t>
      </w:r>
      <w:proofErr w:type="spellStart"/>
      <w:r w:rsidR="005A1C39">
        <w:t>Regs</w:t>
      </w:r>
      <w:proofErr w:type="spellEnd"/>
      <w:r w:rsidR="005A1C39">
        <w:t>)</w:t>
      </w:r>
      <w:r w:rsidR="005B2F87">
        <w:t>. H</w:t>
      </w:r>
      <w:r w:rsidR="005A1C39">
        <w:t>owever</w:t>
      </w:r>
      <w:r w:rsidR="00AE547C">
        <w:t>, in practic</w:t>
      </w:r>
      <w:r w:rsidR="005A1C39">
        <w:t>e</w:t>
      </w:r>
      <w:r w:rsidR="00AE547C">
        <w:t>,</w:t>
      </w:r>
      <w:r w:rsidR="005A1C39">
        <w:t xml:space="preserve"> the DWP does not consider if you are exempt </w:t>
      </w:r>
      <w:r w:rsidR="00AE547C">
        <w:t xml:space="preserve">and administratively the same format of the HRT is used.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D05A5" w14:textId="5C59C6B6" w:rsidR="00E24D44" w:rsidRDefault="00E24D44" w:rsidP="00E24D4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B292854" wp14:editId="1DEB7585">
          <wp:extent cx="2948687" cy="9144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pe for Justice 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711" cy="91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1ED4"/>
    <w:multiLevelType w:val="hybridMultilevel"/>
    <w:tmpl w:val="D41003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33"/>
    <w:rsid w:val="00023507"/>
    <w:rsid w:val="00034545"/>
    <w:rsid w:val="000A35BE"/>
    <w:rsid w:val="001303CB"/>
    <w:rsid w:val="00140DE2"/>
    <w:rsid w:val="00204933"/>
    <w:rsid w:val="002510BA"/>
    <w:rsid w:val="003D40B3"/>
    <w:rsid w:val="003F1A1D"/>
    <w:rsid w:val="004E0973"/>
    <w:rsid w:val="00520895"/>
    <w:rsid w:val="00567FC3"/>
    <w:rsid w:val="00586AE1"/>
    <w:rsid w:val="005A1C39"/>
    <w:rsid w:val="005B2F87"/>
    <w:rsid w:val="006228BE"/>
    <w:rsid w:val="006627A2"/>
    <w:rsid w:val="00671E63"/>
    <w:rsid w:val="00742D57"/>
    <w:rsid w:val="00891FF8"/>
    <w:rsid w:val="008C0262"/>
    <w:rsid w:val="009301A4"/>
    <w:rsid w:val="009773D9"/>
    <w:rsid w:val="009B4794"/>
    <w:rsid w:val="009C4BF5"/>
    <w:rsid w:val="00A24176"/>
    <w:rsid w:val="00A61514"/>
    <w:rsid w:val="00A67AD1"/>
    <w:rsid w:val="00AE547C"/>
    <w:rsid w:val="00B52298"/>
    <w:rsid w:val="00C107D9"/>
    <w:rsid w:val="00C150A5"/>
    <w:rsid w:val="00C3405B"/>
    <w:rsid w:val="00C765E1"/>
    <w:rsid w:val="00D36B72"/>
    <w:rsid w:val="00D86967"/>
    <w:rsid w:val="00E062A0"/>
    <w:rsid w:val="00E24D44"/>
    <w:rsid w:val="00E857D5"/>
    <w:rsid w:val="00F31059"/>
    <w:rsid w:val="43998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21380"/>
  <w15:chartTrackingRefBased/>
  <w15:docId w15:val="{88AA5CB0-5746-4607-828D-AED039A4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0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36B7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28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8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28B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2089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40DE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4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5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522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4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44"/>
  </w:style>
  <w:style w:type="paragraph" w:styleId="Footer">
    <w:name w:val="footer"/>
    <w:basedOn w:val="Normal"/>
    <w:link w:val="FooterChar"/>
    <w:uiPriority w:val="99"/>
    <w:unhideWhenUsed/>
    <w:rsid w:val="00E24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-legal-advice.justice.gov.uk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4D4E-143D-4947-9FF2-2E33BCFC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Kingi</dc:creator>
  <cp:keywords/>
  <dc:description/>
  <cp:lastModifiedBy>Adam Hewitt</cp:lastModifiedBy>
  <cp:revision>7</cp:revision>
  <dcterms:created xsi:type="dcterms:W3CDTF">2019-05-28T08:57:00Z</dcterms:created>
  <dcterms:modified xsi:type="dcterms:W3CDTF">2019-07-25T09:59:00Z</dcterms:modified>
</cp:coreProperties>
</file>