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8A909" w14:textId="6B721986" w:rsidR="00CE0D4D" w:rsidRDefault="00B659BA" w:rsidP="00B659BA">
      <w:pPr>
        <w:jc w:val="center"/>
        <w:rPr>
          <w:b/>
        </w:rPr>
      </w:pPr>
      <w:r>
        <w:rPr>
          <w:b/>
        </w:rPr>
        <w:t>Considering status</w:t>
      </w:r>
      <w:r w:rsidRPr="003D40B3">
        <w:rPr>
          <w:b/>
        </w:rPr>
        <w:t xml:space="preserve"> when </w:t>
      </w:r>
      <w:r>
        <w:rPr>
          <w:b/>
        </w:rPr>
        <w:t>representing</w:t>
      </w:r>
      <w:r w:rsidRPr="003D40B3">
        <w:rPr>
          <w:b/>
        </w:rPr>
        <w:t xml:space="preserve"> EEA nationals </w:t>
      </w:r>
    </w:p>
    <w:p w14:paraId="13DD2A4D" w14:textId="0677442A" w:rsidR="00B659BA" w:rsidRDefault="00CE0D4D" w:rsidP="00B659BA">
      <w:pPr>
        <w:jc w:val="center"/>
        <w:rPr>
          <w:b/>
        </w:rPr>
      </w:pPr>
      <w:r>
        <w:rPr>
          <w:b/>
        </w:rPr>
        <w:t>Part B - Worker and Retained Worker Status</w:t>
      </w:r>
    </w:p>
    <w:p w14:paraId="78A94DA8" w14:textId="50F5E532" w:rsidR="00B659BA" w:rsidRPr="006627A2" w:rsidRDefault="00134E02" w:rsidP="00B659BA">
      <w:pPr>
        <w:jc w:val="center"/>
        <w:rPr>
          <w:b/>
          <w:i/>
        </w:rPr>
      </w:pPr>
      <w:r>
        <w:rPr>
          <w:b/>
          <w:i/>
        </w:rPr>
        <w:t>F</w:t>
      </w:r>
      <w:r w:rsidR="00B659BA" w:rsidRPr="006627A2">
        <w:rPr>
          <w:b/>
          <w:i/>
        </w:rPr>
        <w:t>or representatives, advocates, support workers, and agencies</w:t>
      </w:r>
      <w:r>
        <w:rPr>
          <w:b/>
          <w:i/>
        </w:rPr>
        <w:t>,</w:t>
      </w:r>
      <w:r w:rsidR="00B659BA" w:rsidRPr="006627A2">
        <w:rPr>
          <w:b/>
          <w:i/>
        </w:rPr>
        <w:t xml:space="preserve"> work</w:t>
      </w:r>
      <w:r w:rsidR="00CE0D4D">
        <w:rPr>
          <w:b/>
          <w:i/>
        </w:rPr>
        <w:t>ing with victims of trafficking/modern slavery</w:t>
      </w:r>
    </w:p>
    <w:p w14:paraId="1886DDEA" w14:textId="70741110" w:rsidR="005A7744" w:rsidRPr="00E37D62" w:rsidRDefault="005A7744" w:rsidP="005A7744">
      <w:r w:rsidRPr="00E37D62">
        <w:t xml:space="preserve">Myth: My client can’t have </w:t>
      </w:r>
      <w:r w:rsidR="00B659BA" w:rsidRPr="00E37D62">
        <w:t>worker or retained worker status</w:t>
      </w:r>
      <w:r w:rsidRPr="00E37D62">
        <w:t xml:space="preserve"> as his/her work</w:t>
      </w:r>
      <w:r w:rsidR="002045B5" w:rsidRPr="00E37D62">
        <w:t xml:space="preserve"> in the UK</w:t>
      </w:r>
      <w:r w:rsidRPr="00E37D62">
        <w:t xml:space="preserve"> was exploitative. </w:t>
      </w:r>
    </w:p>
    <w:p w14:paraId="08FC2610" w14:textId="75953BA5" w:rsidR="005A7744" w:rsidRPr="00E37D62" w:rsidRDefault="005A7744" w:rsidP="005A7744">
      <w:r w:rsidRPr="00E37D62">
        <w:t xml:space="preserve">Truth: When looking at whether someone has </w:t>
      </w:r>
      <w:r w:rsidR="00B659BA" w:rsidRPr="00E37D62">
        <w:t xml:space="preserve">worker or </w:t>
      </w:r>
      <w:r w:rsidRPr="00E37D62">
        <w:t xml:space="preserve">retained worker status, the test is not whether the work was </w:t>
      </w:r>
      <w:r w:rsidR="00B659BA" w:rsidRPr="00E37D62">
        <w:t>legal</w:t>
      </w:r>
      <w:r w:rsidRPr="00E37D62">
        <w:t xml:space="preserve">, but whether it was ‘genuine and effective’. </w:t>
      </w:r>
      <w:r w:rsidR="00D526BD">
        <w:rPr>
          <w:rStyle w:val="normaltextrun"/>
          <w:rFonts w:cs="Segoe UI"/>
          <w:color w:val="000000"/>
          <w:lang w:val="en-US"/>
        </w:rPr>
        <w:t>E</w:t>
      </w:r>
      <w:r w:rsidR="00D526BD" w:rsidRPr="00DD1DAD">
        <w:rPr>
          <w:rStyle w:val="normaltextrun"/>
          <w:rFonts w:cs="Segoe UI"/>
          <w:color w:val="000000"/>
          <w:lang w:val="en-US"/>
        </w:rPr>
        <w:t>xploitative work does not prevent a person from bei</w:t>
      </w:r>
      <w:bookmarkStart w:id="0" w:name="_GoBack"/>
      <w:bookmarkEnd w:id="0"/>
      <w:r w:rsidR="00D526BD">
        <w:rPr>
          <w:rStyle w:val="normaltextrun"/>
          <w:rFonts w:cs="Segoe UI"/>
          <w:color w:val="000000"/>
          <w:lang w:val="en-US"/>
        </w:rPr>
        <w:t>ng considered a worker</w:t>
      </w:r>
      <w:r w:rsidR="00D526BD" w:rsidRPr="00DD1DAD">
        <w:rPr>
          <w:rStyle w:val="normaltextrun"/>
          <w:rFonts w:cs="Segoe UI"/>
          <w:color w:val="000000"/>
          <w:lang w:val="en-US"/>
        </w:rPr>
        <w:t>.</w:t>
      </w:r>
    </w:p>
    <w:p w14:paraId="7E8B16FB" w14:textId="3A1A3321" w:rsidR="00E06E60" w:rsidRDefault="00E37D62" w:rsidP="00DD1DA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</w:pPr>
      <w:r>
        <w:rPr>
          <w:rStyle w:val="normaltextrun"/>
          <w:rFonts w:asciiTheme="minorHAnsi" w:hAnsiTheme="minorHAnsi" w:cs="Segoe UI"/>
          <w:color w:val="000000"/>
          <w:sz w:val="22"/>
          <w:szCs w:val="22"/>
          <w:lang w:val="en-US"/>
        </w:rPr>
        <w:t>A</w:t>
      </w:r>
      <w:r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national of an</w:t>
      </w:r>
      <w:r w:rsidR="00E06E60" w:rsidRPr="00E06E60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EEA state</w:t>
      </w:r>
      <w:r w:rsidR="000F1F6E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,</w:t>
      </w:r>
      <w:r w:rsidR="00E06E60" w:rsidRPr="00E06E60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who is in genuine and effective employment in the </w:t>
      </w:r>
      <w:r w:rsidR="00E06E60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UK</w:t>
      </w:r>
      <w:r w:rsidR="000F1F6E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,</w:t>
      </w:r>
      <w:r w:rsidR="00E06E60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is a worker for EU purposes.</w:t>
      </w:r>
      <w:r w:rsidR="00E06E60" w:rsidRPr="00D526BD">
        <w:rPr>
          <w:rStyle w:val="FootnoteReference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footnoteReference w:id="1"/>
      </w:r>
      <w:r w:rsidR="00E06E60" w:rsidRPr="00D526BD">
        <w:rPr>
          <w:rStyle w:val="FootnoteReference"/>
        </w:rPr>
        <w:t xml:space="preserve"> </w:t>
      </w:r>
      <w:r w:rsidR="00D0514D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Accordingly, t</w:t>
      </w:r>
      <w:r w:rsidRPr="00E37D62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he</w:t>
      </w:r>
      <w:r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relevant</w:t>
      </w:r>
      <w:r w:rsidRPr="00E37D62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Decision Maker </w:t>
      </w:r>
      <w:r w:rsidR="000F1F6E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should</w:t>
      </w:r>
      <w:r w:rsidRPr="00E37D62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look at whether the work is genuine and effective</w:t>
      </w:r>
      <w:r w:rsidR="00D0514D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, and </w:t>
      </w:r>
      <w:r w:rsidRPr="00E37D62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not </w:t>
      </w:r>
      <w:r w:rsidR="000F1F6E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‘</w:t>
      </w:r>
      <w:r w:rsidRPr="00E37D62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on such a small scale as to be marginal and ancillary</w:t>
      </w:r>
      <w:r w:rsidR="000F1F6E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’</w:t>
      </w:r>
      <w:r w:rsidRPr="00E37D62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.</w:t>
      </w:r>
      <w:r>
        <w:rPr>
          <w:rStyle w:val="FootnoteReference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footnoteReference w:id="2"/>
      </w:r>
      <w:r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D0514D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The</w:t>
      </w:r>
      <w:r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r</w:t>
      </w:r>
      <w:r w:rsidR="00E06E60" w:rsidRPr="00DD1DAD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elevant </w:t>
      </w:r>
      <w:r w:rsidR="00D0514D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factors</w:t>
      </w:r>
      <w:r w:rsidR="00E06E60" w:rsidRPr="00DD1DAD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D0514D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the Decision Maker will consider </w:t>
      </w:r>
      <w:r w:rsidR="00E06E60" w:rsidRPr="00DD1DAD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on</w:t>
      </w:r>
      <w:r w:rsidR="00D0514D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 deciding whether work is ‘genuine and effective’</w:t>
      </w:r>
      <w:r w:rsidR="00E06E60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include:</w:t>
      </w:r>
    </w:p>
    <w:p w14:paraId="71DD9220" w14:textId="77777777" w:rsidR="00E06E60" w:rsidRDefault="00E06E60" w:rsidP="00DD1DA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</w:pPr>
    </w:p>
    <w:p w14:paraId="13320D63" w14:textId="664A7787" w:rsidR="00E06E60" w:rsidRDefault="00E06E60" w:rsidP="00E06E6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</w:pPr>
      <w:r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W</w:t>
      </w:r>
      <w:r w:rsidRPr="00DD1DAD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hether </w:t>
      </w:r>
      <w:r w:rsidR="00E37D62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the </w:t>
      </w:r>
      <w:r w:rsidRPr="00DD1DAD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wo</w:t>
      </w:r>
      <w:r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rk was regular or intermittent;</w:t>
      </w:r>
    </w:p>
    <w:p w14:paraId="41B60D9B" w14:textId="5D99B9F6" w:rsidR="00E06E60" w:rsidRDefault="00E06E60" w:rsidP="00E06E6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</w:pPr>
      <w:r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The period of employment;</w:t>
      </w:r>
    </w:p>
    <w:p w14:paraId="02CC2936" w14:textId="265219A7" w:rsidR="00E06E60" w:rsidRDefault="00E06E60" w:rsidP="00E06E6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</w:pPr>
      <w:r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W</w:t>
      </w:r>
      <w:r w:rsidRPr="00DD1DAD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hether work was intende</w:t>
      </w:r>
      <w:r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d to be short term or long term;</w:t>
      </w:r>
    </w:p>
    <w:p w14:paraId="0A295617" w14:textId="55CE2AEE" w:rsidR="00E06E60" w:rsidRDefault="00E06E60" w:rsidP="00E06E6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</w:pPr>
      <w:r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The number of hours worked; and</w:t>
      </w:r>
    </w:p>
    <w:p w14:paraId="2FA82EEC" w14:textId="511815C2" w:rsidR="00E06E60" w:rsidRDefault="00E06E60" w:rsidP="00E06E6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</w:pPr>
      <w:r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T</w:t>
      </w:r>
      <w:r w:rsidRPr="00DD1DAD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he level of earnings.</w:t>
      </w:r>
      <w:r w:rsidR="00D526BD">
        <w:rPr>
          <w:rStyle w:val="FootnoteReference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footnoteReference w:id="3"/>
      </w:r>
      <w:r w:rsidR="00DD1DAD" w:rsidRPr="00DD1DAD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</w:t>
      </w:r>
    </w:p>
    <w:p w14:paraId="09A7FF87" w14:textId="77777777" w:rsidR="00E06E60" w:rsidRDefault="00E06E60" w:rsidP="00DD1DA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</w:pPr>
    </w:p>
    <w:p w14:paraId="4791C4B2" w14:textId="506C506C" w:rsidR="00DD1DAD" w:rsidRPr="00E06E60" w:rsidRDefault="00E06E60" w:rsidP="00DD1DA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</w:pPr>
      <w:r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However, p</w:t>
      </w:r>
      <w:r w:rsidRPr="00DD1DAD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ursuant to European case law</w:t>
      </w:r>
      <w:r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,</w:t>
      </w:r>
      <w:r w:rsidRPr="00DD1DAD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D0514D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the term ‘worker’</w:t>
      </w:r>
      <w:r w:rsidR="00DD1DAD" w:rsidRPr="00DD1DAD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must not be restrictively interpreted</w:t>
      </w:r>
      <w:r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. T</w:t>
      </w:r>
      <w:r w:rsidR="00DD1DAD" w:rsidRPr="00DD1DAD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he Court of Justice of the European Union has rep</w:t>
      </w:r>
      <w:r w:rsidR="00D0514D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eatedly affirmed that the term ‘worker’</w:t>
      </w:r>
      <w:r w:rsidR="00DD1DAD" w:rsidRPr="00DD1DAD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must be defined </w:t>
      </w:r>
      <w:r w:rsidR="000F1F6E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by</w:t>
      </w:r>
      <w:r w:rsidR="00DD1DAD" w:rsidRPr="00DD1DAD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European law, and </w:t>
      </w:r>
      <w:r w:rsidR="000F1F6E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it </w:t>
      </w:r>
      <w:r w:rsidR="00DD1DAD" w:rsidRPr="00DD1DAD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is not dependent upon UK law (see </w:t>
      </w:r>
      <w:r w:rsidR="00DD1DAD" w:rsidRPr="00DD1DAD">
        <w:rPr>
          <w:rStyle w:val="normaltextrun"/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  <w:lang w:val="en-US"/>
        </w:rPr>
        <w:t>Lawrie Blum v Land Baden - Wurttemberg [1986] EUECJ R-66/85 (3 July 1986); Levin v </w:t>
      </w:r>
      <w:proofErr w:type="spellStart"/>
      <w:r w:rsidR="00DD1DAD" w:rsidRPr="00DD1DAD">
        <w:rPr>
          <w:rStyle w:val="spellingerror"/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  <w:lang w:val="en-US"/>
        </w:rPr>
        <w:t>Staatsecretaris</w:t>
      </w:r>
      <w:proofErr w:type="spellEnd"/>
      <w:r w:rsidR="00DD1DAD" w:rsidRPr="00DD1DAD">
        <w:rPr>
          <w:rStyle w:val="normaltextrun"/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  <w:lang w:val="en-US"/>
        </w:rPr>
        <w:t> van </w:t>
      </w:r>
      <w:proofErr w:type="spellStart"/>
      <w:r w:rsidR="00DD1DAD" w:rsidRPr="00DD1DAD">
        <w:rPr>
          <w:rStyle w:val="spellingerror"/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  <w:lang w:val="en-US"/>
        </w:rPr>
        <w:t>Justitie</w:t>
      </w:r>
      <w:proofErr w:type="spellEnd"/>
      <w:r w:rsidR="00DD1DAD" w:rsidRPr="00DD1DAD">
        <w:rPr>
          <w:rStyle w:val="normaltextrun"/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  <w:lang w:val="en-US"/>
        </w:rPr>
        <w:t xml:space="preserve"> [1982] EUECJ R-53/81 (23 March 1982); Lair v </w:t>
      </w:r>
      <w:proofErr w:type="spellStart"/>
      <w:r w:rsidR="00DD1DAD" w:rsidRPr="00DD1DAD">
        <w:rPr>
          <w:rStyle w:val="normaltextrun"/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  <w:lang w:val="en-US"/>
        </w:rPr>
        <w:t>Universitat</w:t>
      </w:r>
      <w:proofErr w:type="spellEnd"/>
      <w:r w:rsidR="00DD1DAD" w:rsidRPr="00DD1DAD">
        <w:rPr>
          <w:rStyle w:val="normaltextrun"/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  <w:lang w:val="en-US"/>
        </w:rPr>
        <w:t xml:space="preserve"> Hannover [1988] EUECJ R-39/86 (21 June 1988</w:t>
      </w:r>
      <w:r w:rsidR="00DD1DAD" w:rsidRPr="00DD1DAD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)).    </w:t>
      </w:r>
      <w:r w:rsidR="00DD1DAD" w:rsidRPr="00DD1DAD">
        <w:rPr>
          <w:rStyle w:val="eop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</w:p>
    <w:p w14:paraId="61B1D698" w14:textId="77777777" w:rsidR="00DD1DAD" w:rsidRPr="00DD1DAD" w:rsidRDefault="00DD1DAD" w:rsidP="00DD1DA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="Segoe UI"/>
          <w:color w:val="000000"/>
          <w:sz w:val="22"/>
          <w:szCs w:val="22"/>
          <w:lang w:val="en-US"/>
        </w:rPr>
      </w:pPr>
    </w:p>
    <w:p w14:paraId="3944ABB2" w14:textId="06E86BC8" w:rsidR="00DD1DAD" w:rsidRPr="00DD1DAD" w:rsidRDefault="00E06E60" w:rsidP="00DD1DA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color w:val="000000"/>
          <w:sz w:val="22"/>
          <w:szCs w:val="22"/>
          <w:lang w:val="en-US"/>
        </w:rPr>
        <w:t>E</w:t>
      </w:r>
      <w:r w:rsidR="00DD1DAD" w:rsidRPr="00DD1DAD">
        <w:rPr>
          <w:rStyle w:val="normaltextrun"/>
          <w:rFonts w:asciiTheme="minorHAnsi" w:hAnsiTheme="minorHAnsi" w:cs="Segoe UI"/>
          <w:color w:val="000000"/>
          <w:sz w:val="22"/>
          <w:szCs w:val="22"/>
          <w:lang w:val="en-US"/>
        </w:rPr>
        <w:t>xploitative work does not prevent a person from being considered a ‘worker’. Neither does exploitative work fall outside the ambit of ‘genuine and effective work’.  In </w:t>
      </w:r>
      <w:r w:rsidR="00DD1DAD" w:rsidRPr="00DD1DAD">
        <w:rPr>
          <w:rStyle w:val="normaltextrun"/>
          <w:rFonts w:asciiTheme="minorHAnsi" w:hAnsiTheme="minorHAnsi" w:cs="Segoe UI"/>
          <w:i/>
          <w:iCs/>
          <w:color w:val="000000"/>
          <w:sz w:val="22"/>
          <w:szCs w:val="22"/>
          <w:lang w:val="en-US"/>
        </w:rPr>
        <w:t>JA v Secreta</w:t>
      </w:r>
      <w:r w:rsidR="00134E02">
        <w:rPr>
          <w:rStyle w:val="normaltextrun"/>
          <w:rFonts w:asciiTheme="minorHAnsi" w:hAnsiTheme="minorHAnsi" w:cs="Segoe UI"/>
          <w:i/>
          <w:iCs/>
          <w:color w:val="000000"/>
          <w:sz w:val="22"/>
          <w:szCs w:val="22"/>
          <w:lang w:val="en-US"/>
        </w:rPr>
        <w:t>ry of State for Work and Pensions</w:t>
      </w:r>
      <w:r w:rsidR="00134E02">
        <w:rPr>
          <w:rStyle w:val="FootnoteReference"/>
          <w:rFonts w:asciiTheme="minorHAnsi" w:hAnsiTheme="minorHAnsi" w:cs="Segoe UI"/>
          <w:i/>
          <w:iCs/>
          <w:color w:val="000000"/>
          <w:sz w:val="22"/>
          <w:szCs w:val="22"/>
          <w:lang w:val="en-US"/>
        </w:rPr>
        <w:footnoteReference w:id="4"/>
      </w:r>
      <w:r w:rsidR="00E37D62">
        <w:rPr>
          <w:rStyle w:val="normaltextrun"/>
          <w:rFonts w:asciiTheme="minorHAnsi" w:hAnsiTheme="minorHAnsi" w:cs="Segoe UI"/>
          <w:color w:val="000000"/>
          <w:sz w:val="22"/>
          <w:szCs w:val="22"/>
          <w:lang w:val="en-US"/>
        </w:rPr>
        <w:t xml:space="preserve"> </w:t>
      </w:r>
      <w:r w:rsidR="00DD1DAD" w:rsidRPr="00DD1DAD">
        <w:rPr>
          <w:rStyle w:val="normaltextrun"/>
          <w:rFonts w:asciiTheme="minorHAnsi" w:hAnsiTheme="minorHAnsi" w:cs="Segoe UI"/>
          <w:color w:val="000000"/>
          <w:sz w:val="22"/>
          <w:szCs w:val="22"/>
          <w:lang w:val="en-US"/>
        </w:rPr>
        <w:t xml:space="preserve">the Upper Tribunal found that the fact the contract for work is illegal as performed does not prevent the person concerned from being a worker. This case was about an </w:t>
      </w:r>
      <w:r w:rsidR="000F1F6E">
        <w:rPr>
          <w:rStyle w:val="normaltextrun"/>
          <w:rFonts w:asciiTheme="minorHAnsi" w:hAnsiTheme="minorHAnsi" w:cs="Segoe UI"/>
          <w:color w:val="000000"/>
          <w:sz w:val="22"/>
          <w:szCs w:val="22"/>
          <w:lang w:val="en-US"/>
        </w:rPr>
        <w:t xml:space="preserve">EEA national who had worked </w:t>
      </w:r>
      <w:r w:rsidR="00DD1DAD" w:rsidRPr="00DD1DAD">
        <w:rPr>
          <w:rStyle w:val="normaltextrun"/>
          <w:rFonts w:asciiTheme="minorHAnsi" w:hAnsiTheme="minorHAnsi" w:cs="Segoe UI"/>
          <w:color w:val="000000"/>
          <w:sz w:val="22"/>
          <w:szCs w:val="22"/>
          <w:lang w:val="en-US"/>
        </w:rPr>
        <w:t xml:space="preserve">cash in hand in a restaurant. The Tribunal stressed that it was </w:t>
      </w:r>
      <w:r w:rsidR="000F1F6E">
        <w:rPr>
          <w:rStyle w:val="normaltextrun"/>
          <w:rFonts w:asciiTheme="minorHAnsi" w:hAnsiTheme="minorHAnsi" w:cs="Segoe UI"/>
          <w:color w:val="000000"/>
          <w:sz w:val="22"/>
          <w:szCs w:val="22"/>
          <w:lang w:val="en-US"/>
        </w:rPr>
        <w:t>the factual situation not the</w:t>
      </w:r>
      <w:r w:rsidR="00DD1DAD" w:rsidRPr="00D526BD">
        <w:rPr>
          <w:rStyle w:val="normaltextrun"/>
          <w:rFonts w:asciiTheme="minorHAnsi" w:hAnsiTheme="minorHAnsi" w:cs="Segoe UI"/>
          <w:color w:val="000000"/>
          <w:sz w:val="22"/>
          <w:szCs w:val="22"/>
          <w:lang w:val="en-US"/>
        </w:rPr>
        <w:t xml:space="preserve"> legal situation</w:t>
      </w:r>
      <w:r w:rsidR="00DD1DAD" w:rsidRPr="00DD1DAD">
        <w:rPr>
          <w:rStyle w:val="normaltextrun"/>
          <w:rFonts w:asciiTheme="minorHAnsi" w:hAnsiTheme="minorHAnsi" w:cs="Segoe UI"/>
          <w:color w:val="000000"/>
          <w:sz w:val="22"/>
          <w:szCs w:val="22"/>
          <w:lang w:val="en-US"/>
        </w:rPr>
        <w:t xml:space="preserve"> that determines whether the person is a worker.  Further, in </w:t>
      </w:r>
      <w:r w:rsidR="00DD1DAD" w:rsidRPr="00DD1DAD">
        <w:rPr>
          <w:rStyle w:val="normaltextrun"/>
          <w:rFonts w:asciiTheme="minorHAnsi" w:hAnsiTheme="minorHAnsi" w:cs="Segoe UI"/>
          <w:i/>
          <w:iCs/>
          <w:color w:val="000000"/>
          <w:sz w:val="22"/>
          <w:szCs w:val="22"/>
          <w:lang w:val="en-US"/>
        </w:rPr>
        <w:t>EP</w:t>
      </w:r>
      <w:r w:rsidR="00DD1DAD" w:rsidRPr="00DD1DAD">
        <w:rPr>
          <w:rStyle w:val="normaltextrun"/>
          <w:rFonts w:asciiTheme="minorHAnsi" w:hAnsiTheme="minorHAnsi" w:cs="Segoe UI"/>
          <w:color w:val="000000"/>
          <w:sz w:val="22"/>
          <w:szCs w:val="22"/>
          <w:lang w:val="en-US"/>
        </w:rPr>
        <w:t> </w:t>
      </w:r>
      <w:r w:rsidR="00DD1DAD" w:rsidRPr="00DD1DAD">
        <w:rPr>
          <w:rStyle w:val="normaltextrun"/>
          <w:rFonts w:asciiTheme="minorHAnsi" w:hAnsiTheme="minorHAnsi" w:cs="Segoe UI"/>
          <w:i/>
          <w:iCs/>
          <w:color w:val="000000"/>
          <w:sz w:val="22"/>
          <w:szCs w:val="22"/>
          <w:lang w:val="en-US"/>
        </w:rPr>
        <w:t>v Secretary of State for Work and Pensions</w:t>
      </w:r>
      <w:r w:rsidR="00134E02">
        <w:rPr>
          <w:rStyle w:val="FootnoteReference"/>
          <w:rFonts w:asciiTheme="minorHAnsi" w:hAnsiTheme="minorHAnsi" w:cs="Segoe UI"/>
          <w:i/>
          <w:iCs/>
          <w:color w:val="000000"/>
          <w:sz w:val="22"/>
          <w:szCs w:val="22"/>
          <w:lang w:val="en-US"/>
        </w:rPr>
        <w:footnoteReference w:id="5"/>
      </w:r>
      <w:r w:rsidR="00DD1DAD" w:rsidRPr="00DD1DAD">
        <w:rPr>
          <w:rStyle w:val="normaltextrun"/>
          <w:rFonts w:asciiTheme="minorHAnsi" w:hAnsiTheme="minorHAnsi" w:cs="Segoe UI"/>
          <w:color w:val="000000"/>
          <w:sz w:val="22"/>
          <w:szCs w:val="22"/>
          <w:lang w:val="en-US"/>
        </w:rPr>
        <w:t xml:space="preserve">it was found that being trafficked into work does not prevent you from establishing worker status. </w:t>
      </w:r>
    </w:p>
    <w:p w14:paraId="3A47DCCD" w14:textId="77777777" w:rsidR="00E06E60" w:rsidRDefault="00E06E60" w:rsidP="00DD1DA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="Segoe UI"/>
          <w:color w:val="000000"/>
          <w:sz w:val="22"/>
          <w:szCs w:val="22"/>
          <w:lang w:val="en-US"/>
        </w:rPr>
      </w:pPr>
    </w:p>
    <w:p w14:paraId="1A7B9087" w14:textId="3491810D" w:rsidR="00DD1DAD" w:rsidRDefault="00DD1DAD" w:rsidP="00DD1DA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  <w:r w:rsidRPr="00DD1DAD">
        <w:rPr>
          <w:rStyle w:val="normaltextrun"/>
          <w:rFonts w:asciiTheme="minorHAnsi" w:hAnsiTheme="minorHAnsi" w:cs="Segoe UI"/>
          <w:color w:val="000000"/>
          <w:sz w:val="22"/>
          <w:szCs w:val="22"/>
          <w:lang w:val="en-US"/>
        </w:rPr>
        <w:t xml:space="preserve">The obvious issue with an exploitative work history is that there is often very limited (or no) documentary evidence </w:t>
      </w:r>
      <w:r w:rsidR="00D526BD">
        <w:rPr>
          <w:rStyle w:val="normaltextrun"/>
          <w:rFonts w:asciiTheme="minorHAnsi" w:hAnsiTheme="minorHAnsi" w:cs="Segoe UI"/>
          <w:color w:val="000000"/>
          <w:sz w:val="22"/>
          <w:szCs w:val="22"/>
          <w:lang w:val="en-US"/>
        </w:rPr>
        <w:t>to support that the work took place. Decision M</w:t>
      </w:r>
      <w:r w:rsidRPr="00DD1DAD">
        <w:rPr>
          <w:rStyle w:val="normaltextrun"/>
          <w:rFonts w:asciiTheme="minorHAnsi" w:hAnsiTheme="minorHAnsi" w:cs="Segoe UI"/>
          <w:color w:val="000000"/>
          <w:sz w:val="22"/>
          <w:szCs w:val="22"/>
          <w:lang w:val="en-US"/>
        </w:rPr>
        <w:t>akers are sometimes solely reliant on the individual</w:t>
      </w:r>
      <w:r w:rsidR="00D0514D">
        <w:rPr>
          <w:rStyle w:val="normaltextrun"/>
          <w:rFonts w:asciiTheme="minorHAnsi" w:hAnsiTheme="minorHAnsi" w:cs="Segoe UI"/>
          <w:color w:val="000000"/>
          <w:sz w:val="22"/>
          <w:szCs w:val="22"/>
          <w:lang w:val="en-US"/>
        </w:rPr>
        <w:t>’</w:t>
      </w:r>
      <w:r w:rsidRPr="00DD1DAD">
        <w:rPr>
          <w:rStyle w:val="normaltextrun"/>
          <w:rFonts w:asciiTheme="minorHAnsi" w:hAnsiTheme="minorHAnsi" w:cs="Segoe UI"/>
          <w:color w:val="000000"/>
          <w:sz w:val="22"/>
          <w:szCs w:val="22"/>
          <w:lang w:val="en-US"/>
        </w:rPr>
        <w:t>s account. </w:t>
      </w:r>
      <w:r w:rsidRPr="00DD1DAD">
        <w:rPr>
          <w:rStyle w:val="advancedproofingissue"/>
          <w:rFonts w:asciiTheme="minorHAnsi" w:hAnsiTheme="minorHAnsi" w:cs="Segoe UI"/>
          <w:color w:val="000000"/>
          <w:sz w:val="22"/>
          <w:szCs w:val="22"/>
          <w:lang w:val="en-US"/>
        </w:rPr>
        <w:t>This is why</w:t>
      </w:r>
      <w:r w:rsidR="00D526BD">
        <w:rPr>
          <w:rStyle w:val="advancedproofingissue"/>
          <w:rFonts w:asciiTheme="minorHAnsi" w:hAnsiTheme="minorHAnsi" w:cs="Segoe UI"/>
          <w:color w:val="000000"/>
          <w:sz w:val="22"/>
          <w:szCs w:val="22"/>
          <w:lang w:val="en-US"/>
        </w:rPr>
        <w:t xml:space="preserve"> for victims </w:t>
      </w:r>
      <w:r w:rsidRPr="00DD1DAD">
        <w:rPr>
          <w:rStyle w:val="normaltextrun"/>
          <w:rFonts w:asciiTheme="minorHAnsi" w:hAnsiTheme="minorHAnsi" w:cs="Segoe UI"/>
          <w:color w:val="000000"/>
          <w:sz w:val="22"/>
          <w:szCs w:val="22"/>
          <w:lang w:val="en-US"/>
        </w:rPr>
        <w:t xml:space="preserve">the Conclusive Grounds </w:t>
      </w:r>
      <w:r w:rsidR="00D0514D">
        <w:rPr>
          <w:rStyle w:val="normaltextrun"/>
          <w:rFonts w:asciiTheme="minorHAnsi" w:hAnsiTheme="minorHAnsi" w:cs="Segoe UI"/>
          <w:color w:val="000000"/>
          <w:sz w:val="22"/>
          <w:szCs w:val="22"/>
          <w:lang w:val="en-US"/>
        </w:rPr>
        <w:t xml:space="preserve">(CG) </w:t>
      </w:r>
      <w:r w:rsidRPr="00DD1DAD">
        <w:rPr>
          <w:rStyle w:val="normaltextrun"/>
          <w:rFonts w:asciiTheme="minorHAnsi" w:hAnsiTheme="minorHAnsi" w:cs="Segoe UI"/>
          <w:color w:val="000000"/>
          <w:sz w:val="22"/>
          <w:szCs w:val="22"/>
          <w:lang w:val="en-US"/>
        </w:rPr>
        <w:t xml:space="preserve">Decision is </w:t>
      </w:r>
      <w:r w:rsidR="00D526BD">
        <w:rPr>
          <w:rStyle w:val="normaltextrun"/>
          <w:rFonts w:asciiTheme="minorHAnsi" w:hAnsiTheme="minorHAnsi" w:cs="Segoe UI"/>
          <w:color w:val="000000"/>
          <w:sz w:val="22"/>
          <w:szCs w:val="22"/>
          <w:lang w:val="en-US"/>
        </w:rPr>
        <w:t xml:space="preserve">an </w:t>
      </w:r>
      <w:r w:rsidR="00D526BD">
        <w:rPr>
          <w:rStyle w:val="normaltextrun"/>
          <w:rFonts w:asciiTheme="minorHAnsi" w:hAnsiTheme="minorHAnsi" w:cs="Segoe UI"/>
          <w:color w:val="000000"/>
          <w:sz w:val="22"/>
          <w:szCs w:val="22"/>
          <w:lang w:val="en-US"/>
        </w:rPr>
        <w:lastRenderedPageBreak/>
        <w:t>important evidential document</w:t>
      </w:r>
      <w:r w:rsidRPr="00DD1DAD">
        <w:rPr>
          <w:rStyle w:val="normaltextrun"/>
          <w:rFonts w:asciiTheme="minorHAnsi" w:hAnsiTheme="minorHAnsi" w:cs="Segoe UI"/>
          <w:color w:val="000000"/>
          <w:sz w:val="22"/>
          <w:szCs w:val="22"/>
          <w:lang w:val="en-US"/>
        </w:rPr>
        <w:t>. The</w:t>
      </w:r>
      <w:r w:rsidR="000F1F6E">
        <w:rPr>
          <w:rStyle w:val="normaltextrun"/>
          <w:rFonts w:asciiTheme="minorHAnsi" w:hAnsiTheme="minorHAnsi" w:cs="Segoe UI"/>
          <w:color w:val="000000"/>
          <w:sz w:val="22"/>
          <w:szCs w:val="22"/>
          <w:lang w:val="en-US"/>
        </w:rPr>
        <w:t xml:space="preserve"> CG Decision verifies that the g</w:t>
      </w:r>
      <w:r w:rsidRPr="00DD1DAD">
        <w:rPr>
          <w:rStyle w:val="normaltextrun"/>
          <w:rFonts w:asciiTheme="minorHAnsi" w:hAnsiTheme="minorHAnsi" w:cs="Segoe UI"/>
          <w:color w:val="000000"/>
          <w:sz w:val="22"/>
          <w:szCs w:val="22"/>
          <w:lang w:val="en-US"/>
        </w:rPr>
        <w:t xml:space="preserve">overnment </w:t>
      </w:r>
      <w:r w:rsidR="000F1F6E">
        <w:rPr>
          <w:rStyle w:val="normaltextrun"/>
          <w:rFonts w:asciiTheme="minorHAnsi" w:hAnsiTheme="minorHAnsi" w:cs="Segoe UI"/>
          <w:color w:val="000000"/>
          <w:sz w:val="22"/>
          <w:szCs w:val="22"/>
          <w:lang w:val="en-US"/>
        </w:rPr>
        <w:t xml:space="preserve">Single </w:t>
      </w:r>
      <w:r w:rsidRPr="00DD1DAD">
        <w:rPr>
          <w:rStyle w:val="normaltextrun"/>
          <w:rFonts w:asciiTheme="minorHAnsi" w:hAnsiTheme="minorHAnsi" w:cs="Segoe UI"/>
          <w:color w:val="000000"/>
          <w:sz w:val="22"/>
          <w:szCs w:val="22"/>
          <w:lang w:val="en-US"/>
        </w:rPr>
        <w:t>Competent Authority has considered the account of the person, along</w:t>
      </w:r>
      <w:r w:rsidR="00850C8B">
        <w:rPr>
          <w:rStyle w:val="normaltextrun"/>
          <w:rFonts w:asciiTheme="minorHAnsi" w:hAnsiTheme="minorHAnsi" w:cs="Segoe UI"/>
          <w:color w:val="000000"/>
          <w:sz w:val="22"/>
          <w:szCs w:val="22"/>
          <w:lang w:val="en-US"/>
        </w:rPr>
        <w:t>side other relevant information and has found it credible, then</w:t>
      </w:r>
      <w:r w:rsidRPr="00DD1DAD">
        <w:rPr>
          <w:rStyle w:val="normaltextrun"/>
          <w:rFonts w:asciiTheme="minorHAnsi" w:hAnsiTheme="minorHAnsi" w:cs="Segoe UI"/>
          <w:color w:val="000000"/>
          <w:sz w:val="22"/>
          <w:szCs w:val="22"/>
          <w:lang w:val="en-US"/>
        </w:rPr>
        <w:t xml:space="preserve"> issued a decision to that effect; finding that the person was subjected to the exploitation in their account and rendering them a victim of trafficking/modern slavery.  </w:t>
      </w:r>
      <w:r w:rsidRPr="00DD1DAD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0C86F08D" w14:textId="67AA2A0D" w:rsidR="00D0514D" w:rsidRDefault="00D0514D" w:rsidP="00DD1DA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</w:p>
    <w:p w14:paraId="061C2FD5" w14:textId="2A73C66D" w:rsidR="00D0514D" w:rsidRDefault="00D0514D" w:rsidP="00DD1DA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  <w:r>
        <w:rPr>
          <w:rStyle w:val="eop"/>
          <w:rFonts w:asciiTheme="minorHAnsi" w:hAnsiTheme="minorHAnsi" w:cs="Segoe UI"/>
          <w:sz w:val="22"/>
          <w:szCs w:val="22"/>
        </w:rPr>
        <w:t>It is really important that representatives:</w:t>
      </w:r>
    </w:p>
    <w:p w14:paraId="3E8F05DE" w14:textId="114C867B" w:rsidR="00D0514D" w:rsidRDefault="00D0514D" w:rsidP="00DD1DA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</w:p>
    <w:p w14:paraId="4FD5C869" w14:textId="29CF189E" w:rsidR="00D0514D" w:rsidRDefault="00D0514D" w:rsidP="00D0514D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  <w:r>
        <w:rPr>
          <w:rStyle w:val="eop"/>
          <w:rFonts w:asciiTheme="minorHAnsi" w:hAnsiTheme="minorHAnsi" w:cs="Segoe UI"/>
          <w:sz w:val="22"/>
          <w:szCs w:val="22"/>
        </w:rPr>
        <w:t>Gather any evidence they can</w:t>
      </w:r>
      <w:r w:rsidR="00134E02">
        <w:rPr>
          <w:rStyle w:val="eop"/>
          <w:rFonts w:asciiTheme="minorHAnsi" w:hAnsiTheme="minorHAnsi" w:cs="Segoe UI"/>
          <w:sz w:val="22"/>
          <w:szCs w:val="22"/>
        </w:rPr>
        <w:t xml:space="preserve"> (if it exists)</w:t>
      </w:r>
      <w:r w:rsidR="00850C8B">
        <w:rPr>
          <w:rStyle w:val="eop"/>
          <w:rFonts w:asciiTheme="minorHAnsi" w:hAnsiTheme="minorHAnsi" w:cs="Segoe UI"/>
          <w:sz w:val="22"/>
          <w:szCs w:val="22"/>
        </w:rPr>
        <w:t xml:space="preserve"> to show</w:t>
      </w:r>
      <w:r>
        <w:rPr>
          <w:rStyle w:val="eop"/>
          <w:rFonts w:asciiTheme="minorHAnsi" w:hAnsiTheme="minorHAnsi" w:cs="Segoe UI"/>
          <w:sz w:val="22"/>
          <w:szCs w:val="22"/>
        </w:rPr>
        <w:t xml:space="preserve"> that the person was in genuine and effective work e</w:t>
      </w:r>
      <w:r w:rsidR="00850C8B">
        <w:rPr>
          <w:rStyle w:val="eop"/>
          <w:rFonts w:asciiTheme="minorHAnsi" w:hAnsiTheme="minorHAnsi" w:cs="Segoe UI"/>
          <w:sz w:val="22"/>
          <w:szCs w:val="22"/>
        </w:rPr>
        <w:t>.</w:t>
      </w:r>
      <w:r>
        <w:rPr>
          <w:rStyle w:val="eop"/>
          <w:rFonts w:asciiTheme="minorHAnsi" w:hAnsiTheme="minorHAnsi" w:cs="Segoe UI"/>
          <w:sz w:val="22"/>
          <w:szCs w:val="22"/>
        </w:rPr>
        <w:t>g</w:t>
      </w:r>
      <w:r w:rsidR="00850C8B">
        <w:rPr>
          <w:rStyle w:val="eop"/>
          <w:rFonts w:asciiTheme="minorHAnsi" w:hAnsiTheme="minorHAnsi" w:cs="Segoe UI"/>
          <w:sz w:val="22"/>
          <w:szCs w:val="22"/>
        </w:rPr>
        <w:t>.</w:t>
      </w:r>
      <w:r>
        <w:rPr>
          <w:rStyle w:val="eop"/>
          <w:rFonts w:asciiTheme="minorHAnsi" w:hAnsiTheme="minorHAnsi" w:cs="Segoe UI"/>
          <w:sz w:val="22"/>
          <w:szCs w:val="22"/>
        </w:rPr>
        <w:t xml:space="preserve"> payslips, bank statements showing pay was deposited, employment contracts, records from HMRC</w:t>
      </w:r>
      <w:r w:rsidR="00134E02">
        <w:rPr>
          <w:rStyle w:val="eop"/>
          <w:rFonts w:asciiTheme="minorHAnsi" w:hAnsiTheme="minorHAnsi" w:cs="Segoe UI"/>
          <w:sz w:val="22"/>
          <w:szCs w:val="22"/>
        </w:rPr>
        <w:t>;</w:t>
      </w:r>
    </w:p>
    <w:p w14:paraId="0A6F576A" w14:textId="72455E6E" w:rsidR="00D0514D" w:rsidRDefault="00134E02" w:rsidP="00D0514D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Set out why the</w:t>
      </w:r>
      <w:r w:rsidR="00D0514D">
        <w:rPr>
          <w:rFonts w:asciiTheme="minorHAnsi" w:hAnsiTheme="minorHAnsi" w:cs="Segoe UI"/>
          <w:sz w:val="22"/>
          <w:szCs w:val="22"/>
        </w:rPr>
        <w:t xml:space="preserve"> client’</w:t>
      </w:r>
      <w:r>
        <w:rPr>
          <w:rFonts w:asciiTheme="minorHAnsi" w:hAnsiTheme="minorHAnsi" w:cs="Segoe UI"/>
          <w:sz w:val="22"/>
          <w:szCs w:val="22"/>
        </w:rPr>
        <w:t>s work was genuine and effective. E</w:t>
      </w:r>
      <w:r w:rsidR="00D0514D">
        <w:rPr>
          <w:rFonts w:asciiTheme="minorHAnsi" w:hAnsiTheme="minorHAnsi" w:cs="Segoe UI"/>
          <w:sz w:val="22"/>
          <w:szCs w:val="22"/>
        </w:rPr>
        <w:t xml:space="preserve">xplain to the </w:t>
      </w:r>
      <w:r>
        <w:rPr>
          <w:rFonts w:asciiTheme="minorHAnsi" w:hAnsiTheme="minorHAnsi" w:cs="Segoe UI"/>
          <w:sz w:val="22"/>
          <w:szCs w:val="22"/>
        </w:rPr>
        <w:t>Decision M</w:t>
      </w:r>
      <w:r w:rsidR="00D0514D">
        <w:rPr>
          <w:rFonts w:asciiTheme="minorHAnsi" w:hAnsiTheme="minorHAnsi" w:cs="Segoe UI"/>
          <w:sz w:val="22"/>
          <w:szCs w:val="22"/>
        </w:rPr>
        <w:t>aker that exploitative work does not fall outsi</w:t>
      </w:r>
      <w:r>
        <w:rPr>
          <w:rFonts w:asciiTheme="minorHAnsi" w:hAnsiTheme="minorHAnsi" w:cs="Segoe UI"/>
          <w:sz w:val="22"/>
          <w:szCs w:val="22"/>
        </w:rPr>
        <w:t>de the ambit of genuine and effective work; and</w:t>
      </w:r>
    </w:p>
    <w:p w14:paraId="6393F658" w14:textId="106EBA12" w:rsidR="00134E02" w:rsidRDefault="00850C8B" w:rsidP="00D0514D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Provide a copy of the client’s C</w:t>
      </w:r>
      <w:r w:rsidR="00134E02">
        <w:rPr>
          <w:rFonts w:asciiTheme="minorHAnsi" w:hAnsiTheme="minorHAnsi" w:cs="Segoe UI"/>
          <w:sz w:val="22"/>
          <w:szCs w:val="22"/>
        </w:rPr>
        <w:t xml:space="preserve">onclusive </w:t>
      </w:r>
      <w:r>
        <w:rPr>
          <w:rFonts w:asciiTheme="minorHAnsi" w:hAnsiTheme="minorHAnsi" w:cs="Segoe UI"/>
          <w:sz w:val="22"/>
          <w:szCs w:val="22"/>
        </w:rPr>
        <w:t>G</w:t>
      </w:r>
      <w:r w:rsidR="00134E02">
        <w:rPr>
          <w:rFonts w:asciiTheme="minorHAnsi" w:hAnsiTheme="minorHAnsi" w:cs="Segoe UI"/>
          <w:sz w:val="22"/>
          <w:szCs w:val="22"/>
        </w:rPr>
        <w:t xml:space="preserve">rounds decision and explain to the Decision Maker its significance. </w:t>
      </w:r>
    </w:p>
    <w:p w14:paraId="68B21AF0" w14:textId="13C05563" w:rsidR="00FF22DB" w:rsidRDefault="00FF22DB" w:rsidP="00FF22D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22"/>
          <w:szCs w:val="22"/>
        </w:rPr>
      </w:pPr>
    </w:p>
    <w:p w14:paraId="54987587" w14:textId="3E65F1BA" w:rsidR="00FF22DB" w:rsidRDefault="00FF22DB" w:rsidP="00FF22D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This should be done in writing and given to the client to present to the Job Centre when they sit their HRT. Make sure the client insists t</w:t>
      </w:r>
      <w:r w:rsidR="00850C8B">
        <w:rPr>
          <w:rFonts w:asciiTheme="minorHAnsi" w:hAnsiTheme="minorHAnsi" w:cs="Segoe UI"/>
          <w:sz w:val="22"/>
          <w:szCs w:val="22"/>
        </w:rPr>
        <w:t>he information provided is provided</w:t>
      </w:r>
      <w:r>
        <w:rPr>
          <w:rFonts w:asciiTheme="minorHAnsi" w:hAnsiTheme="minorHAnsi" w:cs="Segoe UI"/>
          <w:sz w:val="22"/>
          <w:szCs w:val="22"/>
        </w:rPr>
        <w:t xml:space="preserve"> to the Decision Maker. </w:t>
      </w:r>
    </w:p>
    <w:p w14:paraId="4A70CE3E" w14:textId="3AB8D81A" w:rsidR="00134E02" w:rsidRDefault="00134E02" w:rsidP="00134E0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22"/>
          <w:szCs w:val="22"/>
        </w:rPr>
      </w:pPr>
    </w:p>
    <w:p w14:paraId="60472526" w14:textId="04E6387E" w:rsidR="00134E02" w:rsidRDefault="00134E02" w:rsidP="00134E0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I</w:t>
      </w:r>
      <w:r w:rsidR="00F122FF">
        <w:rPr>
          <w:rFonts w:asciiTheme="minorHAnsi" w:hAnsiTheme="minorHAnsi" w:cs="Segoe UI"/>
          <w:sz w:val="22"/>
          <w:szCs w:val="22"/>
        </w:rPr>
        <w:t>f</w:t>
      </w:r>
      <w:r w:rsidR="00FF22DB">
        <w:rPr>
          <w:rFonts w:asciiTheme="minorHAnsi" w:hAnsiTheme="minorHAnsi" w:cs="Segoe UI"/>
          <w:sz w:val="22"/>
          <w:szCs w:val="22"/>
        </w:rPr>
        <w:t xml:space="preserve"> a</w:t>
      </w:r>
      <w:r>
        <w:rPr>
          <w:rFonts w:asciiTheme="minorHAnsi" w:hAnsiTheme="minorHAnsi" w:cs="Segoe UI"/>
          <w:sz w:val="22"/>
          <w:szCs w:val="22"/>
        </w:rPr>
        <w:t xml:space="preserve"> client has only done minimal work, </w:t>
      </w:r>
      <w:r w:rsidR="00FF22DB">
        <w:rPr>
          <w:rFonts w:asciiTheme="minorHAnsi" w:hAnsiTheme="minorHAnsi" w:cs="Segoe UI"/>
          <w:sz w:val="22"/>
          <w:szCs w:val="22"/>
        </w:rPr>
        <w:t>representatives</w:t>
      </w:r>
      <w:r>
        <w:rPr>
          <w:rFonts w:asciiTheme="minorHAnsi" w:hAnsiTheme="minorHAnsi" w:cs="Segoe UI"/>
          <w:sz w:val="22"/>
          <w:szCs w:val="22"/>
        </w:rPr>
        <w:t xml:space="preserve"> should still argue </w:t>
      </w:r>
      <w:r w:rsidR="00FF22DB">
        <w:rPr>
          <w:rFonts w:asciiTheme="minorHAnsi" w:hAnsiTheme="minorHAnsi" w:cs="Segoe UI"/>
          <w:sz w:val="22"/>
          <w:szCs w:val="22"/>
        </w:rPr>
        <w:t>the client</w:t>
      </w:r>
      <w:r>
        <w:rPr>
          <w:rFonts w:asciiTheme="minorHAnsi" w:hAnsiTheme="minorHAnsi" w:cs="Segoe UI"/>
          <w:sz w:val="22"/>
          <w:szCs w:val="22"/>
        </w:rPr>
        <w:t xml:space="preserve"> enjoy</w:t>
      </w:r>
      <w:r w:rsidR="00FF22DB">
        <w:rPr>
          <w:rFonts w:asciiTheme="minorHAnsi" w:hAnsiTheme="minorHAnsi" w:cs="Segoe UI"/>
          <w:sz w:val="22"/>
          <w:szCs w:val="22"/>
        </w:rPr>
        <w:t>s</w:t>
      </w:r>
      <w:r>
        <w:rPr>
          <w:rFonts w:asciiTheme="minorHAnsi" w:hAnsiTheme="minorHAnsi" w:cs="Segoe UI"/>
          <w:sz w:val="22"/>
          <w:szCs w:val="22"/>
        </w:rPr>
        <w:t xml:space="preserve"> worker status.  </w:t>
      </w:r>
      <w:r w:rsidR="008754C4">
        <w:rPr>
          <w:rFonts w:asciiTheme="minorHAnsi" w:hAnsiTheme="minorHAnsi" w:cs="Segoe UI"/>
          <w:sz w:val="22"/>
          <w:szCs w:val="22"/>
        </w:rPr>
        <w:t>As little as two</w:t>
      </w:r>
      <w:r w:rsidRPr="00134E02">
        <w:rPr>
          <w:rFonts w:asciiTheme="minorHAnsi" w:hAnsiTheme="minorHAnsi" w:cs="Segoe UI"/>
          <w:sz w:val="22"/>
          <w:szCs w:val="22"/>
        </w:rPr>
        <w:t xml:space="preserve"> weeks remunerated work </w:t>
      </w:r>
      <w:r w:rsidR="00AA56F2">
        <w:rPr>
          <w:rFonts w:asciiTheme="minorHAnsi" w:hAnsiTheme="minorHAnsi" w:cs="Segoe UI"/>
          <w:sz w:val="22"/>
          <w:szCs w:val="22"/>
        </w:rPr>
        <w:t>can be sufficient to find a person has worker status</w:t>
      </w:r>
      <w:r>
        <w:rPr>
          <w:rFonts w:asciiTheme="minorHAnsi" w:hAnsiTheme="minorHAnsi" w:cs="Segoe UI"/>
          <w:sz w:val="22"/>
          <w:szCs w:val="22"/>
        </w:rPr>
        <w:t>.</w:t>
      </w:r>
      <w:r>
        <w:rPr>
          <w:rStyle w:val="FootnoteReference"/>
          <w:rFonts w:asciiTheme="minorHAnsi" w:hAnsiTheme="minorHAnsi" w:cs="Segoe UI"/>
          <w:sz w:val="22"/>
          <w:szCs w:val="22"/>
        </w:rPr>
        <w:footnoteReference w:id="6"/>
      </w:r>
      <w:r>
        <w:rPr>
          <w:rFonts w:asciiTheme="minorHAnsi" w:hAnsiTheme="minorHAnsi" w:cs="Segoe UI"/>
          <w:sz w:val="22"/>
          <w:szCs w:val="22"/>
        </w:rPr>
        <w:t xml:space="preserve"> Further, </w:t>
      </w:r>
      <w:r w:rsidRPr="00134E02">
        <w:rPr>
          <w:rFonts w:asciiTheme="minorHAnsi" w:hAnsiTheme="minorHAnsi" w:cs="Segoe UI"/>
          <w:sz w:val="22"/>
          <w:szCs w:val="22"/>
        </w:rPr>
        <w:t>in the case of </w:t>
      </w:r>
      <w:proofErr w:type="spellStart"/>
      <w:r w:rsidRPr="00134E02">
        <w:rPr>
          <w:rFonts w:asciiTheme="minorHAnsi" w:hAnsiTheme="minorHAnsi" w:cs="Segoe UI"/>
          <w:i/>
          <w:sz w:val="22"/>
          <w:szCs w:val="22"/>
        </w:rPr>
        <w:t>Genc</w:t>
      </w:r>
      <w:proofErr w:type="spellEnd"/>
      <w:r w:rsidRPr="00134E02">
        <w:rPr>
          <w:rFonts w:asciiTheme="minorHAnsi" w:hAnsiTheme="minorHAnsi" w:cs="Segoe UI"/>
          <w:i/>
          <w:sz w:val="22"/>
          <w:szCs w:val="22"/>
        </w:rPr>
        <w:t> v Land Berlin</w:t>
      </w:r>
      <w:r w:rsidRPr="00134E02">
        <w:rPr>
          <w:rStyle w:val="FootnoteReference"/>
          <w:rFonts w:asciiTheme="minorHAnsi" w:hAnsiTheme="minorHAnsi" w:cs="Segoe UI"/>
          <w:sz w:val="22"/>
          <w:szCs w:val="22"/>
        </w:rPr>
        <w:footnoteReference w:id="7"/>
      </w:r>
      <w:r w:rsidRPr="00134E02">
        <w:rPr>
          <w:rStyle w:val="FootnoteReference"/>
        </w:rPr>
        <w:t xml:space="preserve"> </w:t>
      </w:r>
      <w:r w:rsidRPr="00F122FF">
        <w:rPr>
          <w:rFonts w:asciiTheme="minorHAnsi" w:hAnsiTheme="minorHAnsi" w:cs="Segoe UI"/>
          <w:sz w:val="22"/>
          <w:szCs w:val="22"/>
        </w:rPr>
        <w:t> </w:t>
      </w:r>
      <w:r w:rsidR="00F122FF">
        <w:rPr>
          <w:rFonts w:asciiTheme="minorHAnsi" w:hAnsiTheme="minorHAnsi" w:cs="Segoe UI"/>
          <w:sz w:val="22"/>
          <w:szCs w:val="22"/>
        </w:rPr>
        <w:t xml:space="preserve">it was held that </w:t>
      </w:r>
      <w:r w:rsidR="00850C8B" w:rsidRPr="00AA56F2">
        <w:rPr>
          <w:rFonts w:asciiTheme="minorHAnsi" w:hAnsiTheme="minorHAnsi" w:cs="Segoe UI"/>
          <w:sz w:val="22"/>
          <w:szCs w:val="22"/>
        </w:rPr>
        <w:t>regular</w:t>
      </w:r>
      <w:r w:rsidR="00850C8B">
        <w:rPr>
          <w:rFonts w:asciiTheme="minorHAnsi" w:hAnsiTheme="minorHAnsi" w:cs="Segoe UI"/>
          <w:sz w:val="22"/>
          <w:szCs w:val="22"/>
        </w:rPr>
        <w:t xml:space="preserve"> </w:t>
      </w:r>
      <w:r w:rsidR="00F122FF">
        <w:rPr>
          <w:rFonts w:asciiTheme="minorHAnsi" w:hAnsiTheme="minorHAnsi" w:cs="Segoe UI"/>
          <w:sz w:val="22"/>
          <w:szCs w:val="22"/>
        </w:rPr>
        <w:t>work of five and a half</w:t>
      </w:r>
      <w:r w:rsidRPr="00134E02">
        <w:rPr>
          <w:rFonts w:asciiTheme="minorHAnsi" w:hAnsiTheme="minorHAnsi" w:cs="Segoe UI"/>
          <w:sz w:val="22"/>
          <w:szCs w:val="22"/>
        </w:rPr>
        <w:t xml:space="preserve"> hours was sufficient to constitute genuine and effective work</w:t>
      </w:r>
      <w:r w:rsidR="00F122FF">
        <w:rPr>
          <w:rFonts w:asciiTheme="minorHAnsi" w:hAnsiTheme="minorHAnsi" w:cs="Segoe UI"/>
          <w:sz w:val="22"/>
          <w:szCs w:val="22"/>
        </w:rPr>
        <w:t>.</w:t>
      </w:r>
    </w:p>
    <w:p w14:paraId="6C643AE5" w14:textId="7415A63E" w:rsidR="00F122FF" w:rsidRDefault="00F122FF" w:rsidP="00134E0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22"/>
          <w:szCs w:val="22"/>
        </w:rPr>
      </w:pPr>
    </w:p>
    <w:p w14:paraId="1B55141B" w14:textId="256D723C" w:rsidR="00F122FF" w:rsidRDefault="00F122FF" w:rsidP="00B659BA">
      <w:r>
        <w:t>Myt</w:t>
      </w:r>
      <w:r w:rsidR="008754C4">
        <w:t>h: My client did not register as a job seeker</w:t>
      </w:r>
      <w:r>
        <w:t xml:space="preserve"> straight away, so they cannot have worker/retained worker status under </w:t>
      </w:r>
      <w:r w:rsidRPr="00520895">
        <w:t>The Immigration (European Economic Area) Regulations 2016</w:t>
      </w:r>
      <w:r w:rsidR="00FF22DB">
        <w:t xml:space="preserve"> (I (EEA) </w:t>
      </w:r>
      <w:proofErr w:type="spellStart"/>
      <w:r w:rsidR="00FF22DB">
        <w:t>Regs</w:t>
      </w:r>
      <w:proofErr w:type="spellEnd"/>
      <w:r w:rsidR="00FF22DB">
        <w:t xml:space="preserve">) even though they were </w:t>
      </w:r>
      <w:r w:rsidR="00850C8B">
        <w:t xml:space="preserve">previously </w:t>
      </w:r>
      <w:r w:rsidR="00FF22DB">
        <w:t xml:space="preserve">engaged in genuine and effective work. </w:t>
      </w:r>
    </w:p>
    <w:p w14:paraId="044E375D" w14:textId="64E22365" w:rsidR="00F122FF" w:rsidRDefault="008754C4" w:rsidP="00B659BA">
      <w:r>
        <w:t xml:space="preserve">Truth: </w:t>
      </w:r>
      <w:r w:rsidR="00F122FF">
        <w:t>Regulation (2)(b)(</w:t>
      </w:r>
      <w:proofErr w:type="spellStart"/>
      <w:r w:rsidR="00F122FF">
        <w:t>i</w:t>
      </w:r>
      <w:proofErr w:type="spellEnd"/>
      <w:r w:rsidR="00F122FF">
        <w:t xml:space="preserve">) of the I (EEA) </w:t>
      </w:r>
      <w:proofErr w:type="spellStart"/>
      <w:r w:rsidR="00F122FF">
        <w:t>Regs</w:t>
      </w:r>
      <w:proofErr w:type="spellEnd"/>
      <w:r w:rsidR="00F122FF">
        <w:t xml:space="preserve"> </w:t>
      </w:r>
      <w:r>
        <w:t>does require a</w:t>
      </w:r>
      <w:r w:rsidR="00F122FF">
        <w:t xml:space="preserve"> person to </w:t>
      </w:r>
      <w:r w:rsidR="00F122FF" w:rsidRPr="00F122FF">
        <w:t>register as a jobseeker</w:t>
      </w:r>
      <w:r w:rsidR="00F122FF">
        <w:t xml:space="preserve">, </w:t>
      </w:r>
      <w:r>
        <w:t xml:space="preserve">however </w:t>
      </w:r>
      <w:r w:rsidR="00F122FF">
        <w:t xml:space="preserve">a gap between the work ending and registration does not necessarily mean your client has lost worker status. </w:t>
      </w:r>
      <w:r w:rsidR="00F122FF" w:rsidRPr="00F122FF">
        <w:t xml:space="preserve"> </w:t>
      </w:r>
    </w:p>
    <w:p w14:paraId="4D19E241" w14:textId="6F5E17CA" w:rsidR="00F122FF" w:rsidRDefault="008754C4" w:rsidP="00B659BA">
      <w:r>
        <w:t>If the delay between your client’s work ending and registration as a job seeker is more than a few days, the relevant Decision Maker</w:t>
      </w:r>
      <w:r w:rsidR="00FD1FDE">
        <w:t xml:space="preserve"> will consider </w:t>
      </w:r>
      <w:r>
        <w:t>whether there are reaso</w:t>
      </w:r>
      <w:r w:rsidR="00FD1FDE">
        <w:t xml:space="preserve">nable grounds for the delay, or whether it is </w:t>
      </w:r>
      <w:r>
        <w:t>undue delay.</w:t>
      </w:r>
      <w:r>
        <w:rPr>
          <w:rStyle w:val="FootnoteReference"/>
        </w:rPr>
        <w:footnoteReference w:id="8"/>
      </w:r>
      <w:r>
        <w:t xml:space="preserve"> The longer the delay, the more compelling the reasons need to be.</w:t>
      </w:r>
      <w:r>
        <w:rPr>
          <w:rStyle w:val="FootnoteReference"/>
        </w:rPr>
        <w:footnoteReference w:id="9"/>
      </w:r>
      <w:r>
        <w:t xml:space="preserve"> </w:t>
      </w:r>
    </w:p>
    <w:p w14:paraId="706A4D49" w14:textId="785FEA75" w:rsidR="008754C4" w:rsidRDefault="008754C4" w:rsidP="00B659BA">
      <w:r>
        <w:t>So</w:t>
      </w:r>
      <w:r w:rsidR="00FF22DB">
        <w:t>,</w:t>
      </w:r>
      <w:r>
        <w:t xml:space="preserve"> what should you do if your client is in this position? </w:t>
      </w:r>
    </w:p>
    <w:p w14:paraId="2BF008E7" w14:textId="193C0C70" w:rsidR="008754C4" w:rsidRDefault="008754C4" w:rsidP="008754C4">
      <w:pPr>
        <w:pStyle w:val="ListParagraph"/>
        <w:numPr>
          <w:ilvl w:val="0"/>
          <w:numId w:val="3"/>
        </w:numPr>
      </w:pPr>
      <w:r>
        <w:t>If they have not yet registered as a jobseeker, register them straight away</w:t>
      </w:r>
      <w:r w:rsidR="00FD1FDE">
        <w:t xml:space="preserve"> (</w:t>
      </w:r>
      <w:r w:rsidR="00FF22DB">
        <w:t xml:space="preserve">submit a </w:t>
      </w:r>
      <w:r w:rsidR="00FD1FDE">
        <w:t xml:space="preserve">claim </w:t>
      </w:r>
      <w:r w:rsidR="00FF22DB">
        <w:t xml:space="preserve">for </w:t>
      </w:r>
      <w:r w:rsidR="00FD1FDE">
        <w:t>Job Seekers Allowance or Universal Credit); and</w:t>
      </w:r>
    </w:p>
    <w:p w14:paraId="3861CFE2" w14:textId="6F8A215F" w:rsidR="008754C4" w:rsidRDefault="00FD1FDE" w:rsidP="008754C4">
      <w:pPr>
        <w:pStyle w:val="ListParagraph"/>
        <w:numPr>
          <w:ilvl w:val="0"/>
          <w:numId w:val="3"/>
        </w:numPr>
      </w:pPr>
      <w:r>
        <w:t>Provide representations as to why the delay was reasonable and not undue. Examples include:</w:t>
      </w:r>
    </w:p>
    <w:p w14:paraId="212F300D" w14:textId="0FC44BDC" w:rsidR="00FD1FDE" w:rsidRDefault="00FD1FDE" w:rsidP="00FD1FDE">
      <w:pPr>
        <w:pStyle w:val="ListParagraph"/>
        <w:numPr>
          <w:ilvl w:val="1"/>
          <w:numId w:val="3"/>
        </w:numPr>
      </w:pPr>
      <w:r>
        <w:t>Your client was in a situation of modern slavery/human trafficking</w:t>
      </w:r>
    </w:p>
    <w:p w14:paraId="5248DAD2" w14:textId="78C89109" w:rsidR="00FD1FDE" w:rsidRDefault="00FD1FDE" w:rsidP="00FD1FDE">
      <w:pPr>
        <w:pStyle w:val="ListParagraph"/>
        <w:numPr>
          <w:ilvl w:val="1"/>
          <w:numId w:val="3"/>
        </w:numPr>
      </w:pPr>
      <w:r>
        <w:t>Your client was/is in an NRM safe house recovering from their exploitation</w:t>
      </w:r>
    </w:p>
    <w:p w14:paraId="280B50D8" w14:textId="03A35576" w:rsidR="00FD1FDE" w:rsidRDefault="00FD1FDE" w:rsidP="00FD1FDE">
      <w:pPr>
        <w:pStyle w:val="ListParagraph"/>
        <w:numPr>
          <w:ilvl w:val="1"/>
          <w:numId w:val="3"/>
        </w:numPr>
      </w:pPr>
      <w:r>
        <w:t>Your client was/is destitute</w:t>
      </w:r>
    </w:p>
    <w:p w14:paraId="0875B812" w14:textId="4CC995D9" w:rsidR="00FD1FDE" w:rsidRDefault="00FD1FDE" w:rsidP="00FD1FDE">
      <w:pPr>
        <w:pStyle w:val="ListParagraph"/>
        <w:numPr>
          <w:ilvl w:val="1"/>
          <w:numId w:val="3"/>
        </w:numPr>
      </w:pPr>
      <w:r>
        <w:lastRenderedPageBreak/>
        <w:t>Your client’s health – mental, physical and/or suffering from an accident</w:t>
      </w:r>
    </w:p>
    <w:p w14:paraId="3FBCF247" w14:textId="0DD701F5" w:rsidR="00FD1FDE" w:rsidRDefault="00FD1FDE" w:rsidP="00FD1FDE">
      <w:r>
        <w:t>We have successful</w:t>
      </w:r>
      <w:r w:rsidR="00850C8B">
        <w:t>ly</w:t>
      </w:r>
      <w:r>
        <w:t xml:space="preserve"> argued that time in an NRM safe house </w:t>
      </w:r>
      <w:r w:rsidR="004A667E">
        <w:t>is</w:t>
      </w:r>
      <w:r>
        <w:t xml:space="preserve"> </w:t>
      </w:r>
      <w:r w:rsidR="004A667E">
        <w:t xml:space="preserve">a </w:t>
      </w:r>
      <w:r>
        <w:t>reasonable delay. However, time in the NRM can vary (the longer the delay the harder to argue), and your client is always in a better position if there is no delay.  So, if you can, help your client to register as soon as possible to pr</w:t>
      </w:r>
      <w:r w:rsidR="004A667E">
        <w:t>otect</w:t>
      </w:r>
      <w:r>
        <w:t xml:space="preserve"> their position.</w:t>
      </w:r>
    </w:p>
    <w:p w14:paraId="2EA2B6B5" w14:textId="7DA017CD" w:rsidR="00CE0D4D" w:rsidRDefault="00CE0D4D" w:rsidP="00FD1FDE">
      <w:r>
        <w:t xml:space="preserve">If you need advice about a client’s </w:t>
      </w:r>
      <w:r w:rsidR="004A667E">
        <w:t>eligibility</w:t>
      </w:r>
      <w:r>
        <w:t xml:space="preserve"> as an EEA national, </w:t>
      </w:r>
      <w:r w:rsidR="004A667E">
        <w:t>you can contact</w:t>
      </w:r>
      <w:r>
        <w:t xml:space="preserve"> the AIRE Centre: </w:t>
      </w:r>
      <w:hyperlink r:id="rId8" w:history="1">
        <w:r>
          <w:rPr>
            <w:rStyle w:val="Hyperlink"/>
          </w:rPr>
          <w:t>https://www.airecentre.org/</w:t>
        </w:r>
      </w:hyperlink>
      <w:r w:rsidR="00850C8B">
        <w:t xml:space="preserve"> a</w:t>
      </w:r>
      <w:r w:rsidR="004A667E">
        <w:t xml:space="preserve"> legal charity who specialise in </w:t>
      </w:r>
      <w:r w:rsidR="00850C8B">
        <w:t>rights under European law</w:t>
      </w:r>
      <w:r w:rsidR="004A667E">
        <w:t>,</w:t>
      </w:r>
      <w:r>
        <w:t xml:space="preserve"> and in relation to welfare benefits, </w:t>
      </w:r>
      <w:r w:rsidR="004A667E">
        <w:t xml:space="preserve">the </w:t>
      </w:r>
      <w:r>
        <w:t xml:space="preserve">Child Poverty Action Group: </w:t>
      </w:r>
      <w:hyperlink r:id="rId9" w:history="1">
        <w:r>
          <w:rPr>
            <w:rStyle w:val="Hyperlink"/>
          </w:rPr>
          <w:t>http://www.cpag.org.uk/</w:t>
        </w:r>
      </w:hyperlink>
      <w:r>
        <w:t xml:space="preserve">. The Hope for Justice team </w:t>
      </w:r>
      <w:r w:rsidR="00850C8B">
        <w:t xml:space="preserve">of Independent Modern Slavery Advocates </w:t>
      </w:r>
      <w:r>
        <w:t xml:space="preserve">can also give advice in relation to the rights of victims of trafficking/modern slavery who are EEA nationals, call us on </w:t>
      </w:r>
      <w:hyperlink r:id="rId10" w:tgtFrame="_blank" w:history="1">
        <w:r>
          <w:t>0300 008 8</w:t>
        </w:r>
        <w:r w:rsidRPr="00CE0D4D">
          <w:t>0</w:t>
        </w:r>
        <w:r>
          <w:t>0</w:t>
        </w:r>
        <w:r w:rsidRPr="00CE0D4D">
          <w:t>0</w:t>
        </w:r>
      </w:hyperlink>
      <w:r>
        <w:t>.</w:t>
      </w:r>
    </w:p>
    <w:p w14:paraId="56616BC6" w14:textId="36767909" w:rsidR="00B659BA" w:rsidRPr="00023507" w:rsidRDefault="00B659BA" w:rsidP="00B659BA">
      <w:pPr>
        <w:rPr>
          <w:b/>
          <w:i/>
        </w:rPr>
      </w:pPr>
      <w:r w:rsidRPr="00023507">
        <w:rPr>
          <w:b/>
          <w:i/>
        </w:rPr>
        <w:t xml:space="preserve">Please note this blog post does not constitute immigration advice and is not intended to be used and/or distributed as immigration advice </w:t>
      </w:r>
    </w:p>
    <w:p w14:paraId="4C4CF54D" w14:textId="77777777" w:rsidR="005A7744" w:rsidRDefault="005A7744" w:rsidP="005A7744"/>
    <w:p w14:paraId="3F6B5B5F" w14:textId="77777777" w:rsidR="003909BF" w:rsidRDefault="00B960AA"/>
    <w:sectPr w:rsidR="003909B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8FE70" w14:textId="77777777" w:rsidR="00B960AA" w:rsidRDefault="00B960AA" w:rsidP="00E06E60">
      <w:pPr>
        <w:spacing w:after="0" w:line="240" w:lineRule="auto"/>
      </w:pPr>
      <w:r>
        <w:separator/>
      </w:r>
    </w:p>
  </w:endnote>
  <w:endnote w:type="continuationSeparator" w:id="0">
    <w:p w14:paraId="29338FCD" w14:textId="77777777" w:rsidR="00B960AA" w:rsidRDefault="00B960AA" w:rsidP="00E0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B82A5" w14:textId="228AADDB" w:rsidR="00F430C0" w:rsidRDefault="00F430C0">
    <w:pPr>
      <w:pStyle w:val="Footer"/>
    </w:pPr>
    <w:r>
      <w:rPr>
        <w:rFonts w:cstheme="minorHAnsi"/>
      </w:rPr>
      <w:t>©</w:t>
    </w:r>
    <w:r>
      <w:t xml:space="preserve"> Hope for Justice, 2019.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8620A" w14:textId="77777777" w:rsidR="00B960AA" w:rsidRDefault="00B960AA" w:rsidP="00E06E60">
      <w:pPr>
        <w:spacing w:after="0" w:line="240" w:lineRule="auto"/>
      </w:pPr>
      <w:r>
        <w:separator/>
      </w:r>
    </w:p>
  </w:footnote>
  <w:footnote w:type="continuationSeparator" w:id="0">
    <w:p w14:paraId="44681333" w14:textId="77777777" w:rsidR="00B960AA" w:rsidRDefault="00B960AA" w:rsidP="00E06E60">
      <w:pPr>
        <w:spacing w:after="0" w:line="240" w:lineRule="auto"/>
      </w:pPr>
      <w:r>
        <w:continuationSeparator/>
      </w:r>
    </w:p>
  </w:footnote>
  <w:footnote w:id="1">
    <w:p w14:paraId="3B722F91" w14:textId="0A66CB3F" w:rsidR="00E06E60" w:rsidRDefault="00E06E60">
      <w:pPr>
        <w:pStyle w:val="FootnoteText"/>
      </w:pPr>
      <w:r>
        <w:rPr>
          <w:rStyle w:val="FootnoteReference"/>
        </w:rPr>
        <w:footnoteRef/>
      </w:r>
      <w:r w:rsidR="00E37D62">
        <w:t xml:space="preserve"> </w:t>
      </w:r>
      <w:r w:rsidR="00E37D62" w:rsidRPr="00D0514D">
        <w:t>The Department of Work and Pensions Habitual Residence and Right to Reside Guidance, Chapter 7 Part 3, at</w:t>
      </w:r>
      <w:r>
        <w:t xml:space="preserve"> </w:t>
      </w:r>
      <w:r w:rsidRPr="00D0514D">
        <w:t>072810</w:t>
      </w:r>
    </w:p>
  </w:footnote>
  <w:footnote w:id="2">
    <w:p w14:paraId="0D34555F" w14:textId="131E39E6" w:rsidR="00E37D62" w:rsidRDefault="00E37D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0514D">
        <w:t xml:space="preserve">At 072816 and </w:t>
      </w:r>
    </w:p>
  </w:footnote>
  <w:footnote w:id="3">
    <w:p w14:paraId="24079E2D" w14:textId="727CB334" w:rsidR="00D526BD" w:rsidRDefault="00D526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0514D">
        <w:t>Ibid n2</w:t>
      </w:r>
    </w:p>
  </w:footnote>
  <w:footnote w:id="4">
    <w:p w14:paraId="2901EA11" w14:textId="0AA38BA0" w:rsidR="00134E02" w:rsidRDefault="00134E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eastAsia="Calibri" w:hAnsi="Calibri" w:cs="Calibri"/>
          <w:i/>
          <w:color w:val="000000"/>
        </w:rPr>
        <w:t>JA v Secretary of State for Work and Pensions</w:t>
      </w:r>
      <w:r>
        <w:rPr>
          <w:rFonts w:ascii="Calibri" w:eastAsia="Calibri" w:hAnsi="Calibri" w:cs="Calibri"/>
          <w:color w:val="000000"/>
        </w:rPr>
        <w:t xml:space="preserve"> [2012] UKUT 122 (AAC) (16th April 2012)</w:t>
      </w:r>
    </w:p>
  </w:footnote>
  <w:footnote w:id="5">
    <w:p w14:paraId="0D2D7A75" w14:textId="41B79A94" w:rsidR="00134E02" w:rsidRDefault="00134E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eastAsia="Calibri" w:hAnsi="Calibri" w:cs="Calibri"/>
          <w:i/>
          <w:color w:val="000000"/>
        </w:rPr>
        <w:t xml:space="preserve">EP v Secretary of State for Work and Pensions </w:t>
      </w:r>
      <w:r>
        <w:rPr>
          <w:rFonts w:ascii="Calibri" w:eastAsia="Calibri" w:hAnsi="Calibri" w:cs="Calibri"/>
          <w:color w:val="000000"/>
        </w:rPr>
        <w:t>[2016] UKUT 445 (AAC)</w:t>
      </w:r>
    </w:p>
  </w:footnote>
  <w:footnote w:id="6">
    <w:p w14:paraId="5421FFC1" w14:textId="0C984557" w:rsidR="00134E02" w:rsidRDefault="00134E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34E02">
        <w:rPr>
          <w:rFonts w:ascii="Calibri" w:eastAsia="Calibri" w:hAnsi="Calibri" w:cs="Calibri"/>
          <w:i/>
          <w:color w:val="000000"/>
        </w:rPr>
        <w:t>Barry v London Borough of Southwark [2008] EWCA </w:t>
      </w:r>
      <w:proofErr w:type="spellStart"/>
      <w:r w:rsidRPr="00134E02">
        <w:rPr>
          <w:rFonts w:ascii="Calibri" w:eastAsia="Calibri" w:hAnsi="Calibri" w:cs="Calibri"/>
          <w:i/>
          <w:color w:val="000000"/>
        </w:rPr>
        <w:t>Civ</w:t>
      </w:r>
      <w:proofErr w:type="spellEnd"/>
      <w:r w:rsidRPr="00134E02">
        <w:rPr>
          <w:rFonts w:ascii="Calibri" w:eastAsia="Calibri" w:hAnsi="Calibri" w:cs="Calibri"/>
          <w:i/>
          <w:color w:val="000000"/>
        </w:rPr>
        <w:t> 1440</w:t>
      </w:r>
    </w:p>
  </w:footnote>
  <w:footnote w:id="7">
    <w:p w14:paraId="1736E06C" w14:textId="00E1C85E" w:rsidR="00134E02" w:rsidRDefault="00134E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normaltextrun"/>
          <w:rFonts w:ascii="Calibri" w:hAnsi="Calibri"/>
          <w:i/>
          <w:iCs/>
          <w:color w:val="000000"/>
          <w:shd w:val="clear" w:color="auto" w:fill="FFFFFF"/>
          <w:lang w:val="en-US"/>
        </w:rPr>
        <w:t>C-14/09 [2010] ECR I-00931</w:t>
      </w:r>
    </w:p>
  </w:footnote>
  <w:footnote w:id="8">
    <w:p w14:paraId="2D1A79B7" w14:textId="0281800E" w:rsidR="008754C4" w:rsidRDefault="008754C4">
      <w:pPr>
        <w:pStyle w:val="FootnoteText"/>
      </w:pPr>
      <w:r>
        <w:rPr>
          <w:rStyle w:val="FootnoteReference"/>
        </w:rPr>
        <w:footnoteRef/>
      </w:r>
      <w:r>
        <w:t xml:space="preserve"> SSWP v MM (IS) [2015] UKUT 128 (AAC) paras 47-52</w:t>
      </w:r>
    </w:p>
  </w:footnote>
  <w:footnote w:id="9">
    <w:p w14:paraId="74B58726" w14:textId="7E56E70F" w:rsidR="008754C4" w:rsidRDefault="008754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D1FDE">
        <w:t xml:space="preserve">Child </w:t>
      </w:r>
      <w:r w:rsidR="00CE0D4D">
        <w:t xml:space="preserve">Poverty </w:t>
      </w:r>
      <w:r w:rsidR="00FD1FDE">
        <w:t xml:space="preserve">Action Group </w:t>
      </w:r>
      <w:r w:rsidRPr="00FD1FDE">
        <w:rPr>
          <w:i/>
        </w:rPr>
        <w:t>Benefits for Migrants Handbook</w:t>
      </w:r>
      <w:r>
        <w:t xml:space="preserve">, </w:t>
      </w:r>
      <w:r w:rsidR="00FD1FDE">
        <w:t>8</w:t>
      </w:r>
      <w:r w:rsidR="00FD1FDE" w:rsidRPr="00FD1FDE">
        <w:rPr>
          <w:vertAlign w:val="superscript"/>
        </w:rPr>
        <w:t>th</w:t>
      </w:r>
      <w:r w:rsidR="00FD1FDE">
        <w:t xml:space="preserve"> Edition, 2016. A</w:t>
      </w:r>
      <w:r>
        <w:t>t page</w:t>
      </w:r>
      <w:r w:rsidR="00FD1FDE">
        <w:t xml:space="preserve"> 152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99DE2" w14:textId="40FF6857" w:rsidR="00F430C0" w:rsidRDefault="00F430C0" w:rsidP="00F430C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152A5FA" wp14:editId="65C430F1">
          <wp:extent cx="3188335" cy="988716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pe for Justice log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4369" cy="993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473C1"/>
    <w:multiLevelType w:val="hybridMultilevel"/>
    <w:tmpl w:val="7C6825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A483C"/>
    <w:multiLevelType w:val="hybridMultilevel"/>
    <w:tmpl w:val="BD5C0F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54279"/>
    <w:multiLevelType w:val="hybridMultilevel"/>
    <w:tmpl w:val="B4A254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44"/>
    <w:rsid w:val="000F1F6E"/>
    <w:rsid w:val="00134E02"/>
    <w:rsid w:val="002045B5"/>
    <w:rsid w:val="004A667E"/>
    <w:rsid w:val="00586AE1"/>
    <w:rsid w:val="005A7744"/>
    <w:rsid w:val="00671E63"/>
    <w:rsid w:val="00850C8B"/>
    <w:rsid w:val="008754C4"/>
    <w:rsid w:val="00891FF8"/>
    <w:rsid w:val="00AA56F2"/>
    <w:rsid w:val="00B659BA"/>
    <w:rsid w:val="00B960AA"/>
    <w:rsid w:val="00C150A5"/>
    <w:rsid w:val="00C3405B"/>
    <w:rsid w:val="00CE0D4D"/>
    <w:rsid w:val="00D0514D"/>
    <w:rsid w:val="00D526BD"/>
    <w:rsid w:val="00D86967"/>
    <w:rsid w:val="00DD1DAD"/>
    <w:rsid w:val="00E06E60"/>
    <w:rsid w:val="00E37D62"/>
    <w:rsid w:val="00E857D5"/>
    <w:rsid w:val="00F122FF"/>
    <w:rsid w:val="00F430C0"/>
    <w:rsid w:val="00FA3C05"/>
    <w:rsid w:val="00FD1FDE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F20E2"/>
  <w15:chartTrackingRefBased/>
  <w15:docId w15:val="{ABDE01F1-9316-4350-A86C-ADCFAB2A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D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1DAD"/>
  </w:style>
  <w:style w:type="character" w:customStyle="1" w:styleId="scxw69462573">
    <w:name w:val="scxw69462573"/>
    <w:basedOn w:val="DefaultParagraphFont"/>
    <w:rsid w:val="00DD1DAD"/>
  </w:style>
  <w:style w:type="character" w:customStyle="1" w:styleId="eop">
    <w:name w:val="eop"/>
    <w:basedOn w:val="DefaultParagraphFont"/>
    <w:rsid w:val="00DD1DAD"/>
  </w:style>
  <w:style w:type="character" w:customStyle="1" w:styleId="advancedproofingissue">
    <w:name w:val="advancedproofingissue"/>
    <w:basedOn w:val="DefaultParagraphFont"/>
    <w:rsid w:val="00DD1DAD"/>
  </w:style>
  <w:style w:type="character" w:customStyle="1" w:styleId="spellingerror">
    <w:name w:val="spellingerror"/>
    <w:basedOn w:val="DefaultParagraphFont"/>
    <w:rsid w:val="00DD1DAD"/>
  </w:style>
  <w:style w:type="paragraph" w:styleId="FootnoteText">
    <w:name w:val="footnote text"/>
    <w:basedOn w:val="Normal"/>
    <w:link w:val="FootnoteTextChar"/>
    <w:uiPriority w:val="99"/>
    <w:semiHidden/>
    <w:unhideWhenUsed/>
    <w:rsid w:val="00E06E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6E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6E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54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0D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C0"/>
  </w:style>
  <w:style w:type="paragraph" w:styleId="Footer">
    <w:name w:val="footer"/>
    <w:basedOn w:val="Normal"/>
    <w:link w:val="FooterChar"/>
    <w:uiPriority w:val="99"/>
    <w:unhideWhenUsed/>
    <w:rsid w:val="00F43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ecentre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0300%20008%208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g.org.u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06A7-B479-4BB8-938F-BBF1EFDA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Kingi</dc:creator>
  <cp:keywords/>
  <dc:description/>
  <cp:lastModifiedBy>Adam Hewitt</cp:lastModifiedBy>
  <cp:revision>3</cp:revision>
  <dcterms:created xsi:type="dcterms:W3CDTF">2019-06-04T12:09:00Z</dcterms:created>
  <dcterms:modified xsi:type="dcterms:W3CDTF">2019-07-25T09:59:00Z</dcterms:modified>
</cp:coreProperties>
</file>