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FF1E" w14:textId="5ECC5601" w:rsidR="00B915FC" w:rsidRPr="001F21FF" w:rsidRDefault="00F073E9" w:rsidP="19BB8B97">
      <w:pPr>
        <w:rPr>
          <w:rFonts w:ascii="Calibri" w:eastAsia="Calibri" w:hAnsi="Calibri" w:cs="Calibri"/>
          <w:b/>
          <w:bCs/>
          <w:sz w:val="28"/>
          <w:szCs w:val="28"/>
        </w:rPr>
      </w:pPr>
      <w:r>
        <w:rPr>
          <w:rFonts w:ascii="Calibri" w:eastAsia="Calibri" w:hAnsi="Calibri" w:cs="Calibri"/>
          <w:b/>
          <w:bCs/>
          <w:sz w:val="28"/>
          <w:szCs w:val="28"/>
        </w:rPr>
        <w:t xml:space="preserve">Data Retention </w:t>
      </w:r>
      <w:r w:rsidR="005004EC">
        <w:rPr>
          <w:rFonts w:ascii="Calibri" w:eastAsia="Calibri" w:hAnsi="Calibri" w:cs="Calibri"/>
          <w:b/>
          <w:bCs/>
          <w:sz w:val="28"/>
          <w:szCs w:val="28"/>
        </w:rPr>
        <w:t>Policy</w:t>
      </w:r>
    </w:p>
    <w:p w14:paraId="351DF119" w14:textId="77777777" w:rsidR="00B915FC" w:rsidRPr="001F21FF" w:rsidRDefault="00B915FC" w:rsidP="00B915FC">
      <w:pPr>
        <w:rPr>
          <w:rFonts w:ascii="Calibri" w:hAnsi="Calibri" w:cs="Open San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52"/>
      </w:tblGrid>
      <w:tr w:rsidR="008C5D4A" w:rsidRPr="001F21FF" w14:paraId="2974767F" w14:textId="77777777" w:rsidTr="00F073E9">
        <w:trPr>
          <w:trHeight w:val="432"/>
        </w:trPr>
        <w:tc>
          <w:tcPr>
            <w:tcW w:w="630" w:type="dxa"/>
          </w:tcPr>
          <w:p w14:paraId="76E33BE7" w14:textId="77777777" w:rsidR="008C5D4A" w:rsidRPr="001F21FF" w:rsidRDefault="19BB8B97" w:rsidP="19BB8B97">
            <w:pPr>
              <w:rPr>
                <w:rFonts w:ascii="Calibri,Open Sans" w:eastAsia="Calibri,Open Sans" w:hAnsi="Calibri,Open Sans" w:cs="Calibri,Open Sans"/>
                <w:b/>
                <w:bCs/>
              </w:rPr>
            </w:pPr>
            <w:r w:rsidRPr="19BB8B97">
              <w:rPr>
                <w:rFonts w:ascii="Calibri" w:eastAsia="Calibri" w:hAnsi="Calibri" w:cs="Calibri"/>
                <w:b/>
                <w:bCs/>
              </w:rPr>
              <w:t>1.0</w:t>
            </w:r>
          </w:p>
        </w:tc>
        <w:tc>
          <w:tcPr>
            <w:tcW w:w="9052" w:type="dxa"/>
          </w:tcPr>
          <w:p w14:paraId="067DF6DF" w14:textId="19CD1282" w:rsidR="008C5D4A" w:rsidRPr="001F21FF" w:rsidRDefault="19BB8B97" w:rsidP="19BB8B97">
            <w:pPr>
              <w:rPr>
                <w:rFonts w:ascii="Calibri,Open Sans" w:eastAsia="Calibri,Open Sans" w:hAnsi="Calibri,Open Sans" w:cs="Calibri,Open Sans"/>
                <w:b/>
                <w:bCs/>
              </w:rPr>
            </w:pPr>
            <w:r w:rsidRPr="19BB8B97">
              <w:rPr>
                <w:rFonts w:ascii="Calibri" w:eastAsia="Calibri" w:hAnsi="Calibri" w:cs="Calibri"/>
                <w:b/>
                <w:bCs/>
              </w:rPr>
              <w:t>Introduction</w:t>
            </w:r>
          </w:p>
        </w:tc>
      </w:tr>
      <w:tr w:rsidR="008C5D4A" w:rsidRPr="001F21FF" w14:paraId="15E341E6" w14:textId="77777777" w:rsidTr="00F073E9">
        <w:trPr>
          <w:trHeight w:val="432"/>
        </w:trPr>
        <w:tc>
          <w:tcPr>
            <w:tcW w:w="630" w:type="dxa"/>
          </w:tcPr>
          <w:p w14:paraId="73F2A36D" w14:textId="77777777" w:rsidR="008C5D4A" w:rsidRPr="001F21FF" w:rsidRDefault="19BB8B97" w:rsidP="19BB8B97">
            <w:pPr>
              <w:rPr>
                <w:rFonts w:ascii="Calibri,Open Sans" w:eastAsia="Calibri,Open Sans" w:hAnsi="Calibri,Open Sans" w:cs="Calibri,Open Sans"/>
              </w:rPr>
            </w:pPr>
            <w:r w:rsidRPr="19BB8B97">
              <w:rPr>
                <w:rFonts w:ascii="Calibri" w:eastAsia="Calibri" w:hAnsi="Calibri" w:cs="Calibri"/>
              </w:rPr>
              <w:t>1.1</w:t>
            </w:r>
          </w:p>
        </w:tc>
        <w:tc>
          <w:tcPr>
            <w:tcW w:w="9052" w:type="dxa"/>
          </w:tcPr>
          <w:p w14:paraId="6DE5BF36" w14:textId="4A550D43" w:rsidR="008C5D4A" w:rsidRDefault="00F073E9" w:rsidP="19BB8B97">
            <w:pPr>
              <w:rPr>
                <w:rFonts w:asciiTheme="minorHAnsi" w:hAnsiTheme="minorHAnsi"/>
              </w:rPr>
            </w:pPr>
            <w:r>
              <w:rPr>
                <w:rFonts w:asciiTheme="minorHAnsi" w:hAnsiTheme="minorHAnsi"/>
              </w:rPr>
              <w:t>Personal data</w:t>
            </w:r>
            <w:r w:rsidRPr="00D25D92">
              <w:rPr>
                <w:rFonts w:asciiTheme="minorHAnsi" w:hAnsiTheme="minorHAnsi"/>
              </w:rPr>
              <w:t xml:space="preserve"> is one of </w:t>
            </w:r>
            <w:r w:rsidR="00614CAE">
              <w:rPr>
                <w:rFonts w:asciiTheme="minorHAnsi" w:hAnsiTheme="minorHAnsi"/>
              </w:rPr>
              <w:t>Hope for Justice’s</w:t>
            </w:r>
            <w:r w:rsidRPr="00D25D92">
              <w:rPr>
                <w:rFonts w:asciiTheme="minorHAnsi" w:hAnsiTheme="minorHAnsi"/>
              </w:rPr>
              <w:t xml:space="preserve"> corporate assets; in the course of carrying out its</w:t>
            </w:r>
            <w:r>
              <w:rPr>
                <w:rFonts w:asciiTheme="minorHAnsi" w:hAnsiTheme="minorHAnsi"/>
              </w:rPr>
              <w:t xml:space="preserve"> various functions, </w:t>
            </w:r>
            <w:r w:rsidR="00614CAE">
              <w:rPr>
                <w:rFonts w:asciiTheme="minorHAnsi" w:hAnsiTheme="minorHAnsi"/>
              </w:rPr>
              <w:t>Hope for Justice</w:t>
            </w:r>
            <w:r w:rsidRPr="00D25D92">
              <w:rPr>
                <w:rFonts w:asciiTheme="minorHAnsi" w:hAnsiTheme="minorHAnsi"/>
              </w:rPr>
              <w:t xml:space="preserve"> a</w:t>
            </w:r>
            <w:r>
              <w:rPr>
                <w:rFonts w:asciiTheme="minorHAnsi" w:hAnsiTheme="minorHAnsi"/>
              </w:rPr>
              <w:t>ccumulates information from</w:t>
            </w:r>
            <w:r w:rsidRPr="00D25D92">
              <w:rPr>
                <w:rFonts w:asciiTheme="minorHAnsi" w:hAnsiTheme="minorHAnsi"/>
              </w:rPr>
              <w:t xml:space="preserve"> individuals</w:t>
            </w:r>
            <w:r>
              <w:rPr>
                <w:rFonts w:asciiTheme="minorHAnsi" w:hAnsiTheme="minorHAnsi"/>
              </w:rPr>
              <w:t xml:space="preserve">. </w:t>
            </w:r>
            <w:r w:rsidR="00614CAE">
              <w:rPr>
                <w:rFonts w:asciiTheme="minorHAnsi" w:hAnsiTheme="minorHAnsi"/>
              </w:rPr>
              <w:t>Hope for Justice</w:t>
            </w:r>
            <w:r>
              <w:rPr>
                <w:rFonts w:asciiTheme="minorHAnsi" w:hAnsiTheme="minorHAnsi"/>
              </w:rPr>
              <w:t xml:space="preserve"> also generates a</w:t>
            </w:r>
            <w:r w:rsidRPr="00D25D92">
              <w:rPr>
                <w:rFonts w:asciiTheme="minorHAnsi" w:hAnsiTheme="minorHAnsi"/>
              </w:rPr>
              <w:t xml:space="preserve"> range of data, which is recorded in </w:t>
            </w:r>
            <w:r>
              <w:rPr>
                <w:rFonts w:asciiTheme="minorHAnsi" w:hAnsiTheme="minorHAnsi"/>
              </w:rPr>
              <w:t>the CRM system</w:t>
            </w:r>
            <w:r w:rsidR="001B721F">
              <w:rPr>
                <w:rFonts w:asciiTheme="minorHAnsi" w:hAnsiTheme="minorHAnsi"/>
              </w:rPr>
              <w:t>s</w:t>
            </w:r>
            <w:r>
              <w:rPr>
                <w:rFonts w:asciiTheme="minorHAnsi" w:hAnsiTheme="minorHAnsi"/>
              </w:rPr>
              <w:t xml:space="preserve">, the case management system, </w:t>
            </w:r>
            <w:r w:rsidR="00060011">
              <w:rPr>
                <w:rFonts w:asciiTheme="minorHAnsi" w:hAnsiTheme="minorHAnsi"/>
              </w:rPr>
              <w:t xml:space="preserve">financial systems, </w:t>
            </w:r>
            <w:r>
              <w:rPr>
                <w:rFonts w:asciiTheme="minorHAnsi" w:hAnsiTheme="minorHAnsi"/>
              </w:rPr>
              <w:t>spreadsheets and paper files.</w:t>
            </w:r>
          </w:p>
          <w:p w14:paraId="3E747CC4" w14:textId="2637F88D" w:rsidR="00F073E9" w:rsidRPr="001F21FF" w:rsidRDefault="00F073E9" w:rsidP="19BB8B97">
            <w:pPr>
              <w:rPr>
                <w:rFonts w:ascii="Calibri,Open Sans" w:eastAsia="Calibri,Open Sans" w:hAnsi="Calibri,Open Sans" w:cs="Calibri,Open Sans"/>
              </w:rPr>
            </w:pPr>
            <w:bookmarkStart w:id="0" w:name="_GoBack"/>
            <w:bookmarkEnd w:id="0"/>
          </w:p>
        </w:tc>
      </w:tr>
      <w:tr w:rsidR="008C5D4A" w:rsidRPr="001F21FF" w14:paraId="331A044D" w14:textId="77777777" w:rsidTr="00F073E9">
        <w:trPr>
          <w:trHeight w:val="432"/>
        </w:trPr>
        <w:tc>
          <w:tcPr>
            <w:tcW w:w="630" w:type="dxa"/>
          </w:tcPr>
          <w:p w14:paraId="4A63CE19" w14:textId="4B519052" w:rsidR="008C5D4A" w:rsidRPr="001F21FF" w:rsidRDefault="00F073E9" w:rsidP="008C5D4A">
            <w:pPr>
              <w:rPr>
                <w:rFonts w:ascii="Calibri" w:hAnsi="Calibri" w:cs="Open Sans"/>
              </w:rPr>
            </w:pPr>
            <w:r>
              <w:rPr>
                <w:rFonts w:ascii="Calibri" w:hAnsi="Calibri" w:cs="Open Sans"/>
              </w:rPr>
              <w:t>1.2</w:t>
            </w:r>
          </w:p>
        </w:tc>
        <w:tc>
          <w:tcPr>
            <w:tcW w:w="9052" w:type="dxa"/>
          </w:tcPr>
          <w:p w14:paraId="30723235" w14:textId="77777777" w:rsidR="008C5D4A" w:rsidRDefault="00F073E9" w:rsidP="008C5D4A">
            <w:pPr>
              <w:rPr>
                <w:rFonts w:asciiTheme="minorHAnsi" w:hAnsiTheme="minorHAnsi"/>
              </w:rPr>
            </w:pPr>
            <w:r>
              <w:rPr>
                <w:rFonts w:asciiTheme="minorHAnsi" w:hAnsiTheme="minorHAnsi"/>
              </w:rPr>
              <w:t>This</w:t>
            </w:r>
            <w:r w:rsidRPr="00D25D92">
              <w:rPr>
                <w:rFonts w:asciiTheme="minorHAnsi" w:hAnsiTheme="minorHAnsi"/>
              </w:rPr>
              <w:t xml:space="preserve"> </w:t>
            </w:r>
            <w:r>
              <w:rPr>
                <w:rFonts w:asciiTheme="minorHAnsi" w:hAnsiTheme="minorHAnsi"/>
              </w:rPr>
              <w:t>personal data can also be held in</w:t>
            </w:r>
            <w:r w:rsidRPr="00D25D92">
              <w:rPr>
                <w:rFonts w:asciiTheme="minorHAnsi" w:hAnsiTheme="minorHAnsi"/>
              </w:rPr>
              <w:t xml:space="preserve"> </w:t>
            </w:r>
            <w:r>
              <w:rPr>
                <w:rFonts w:asciiTheme="minorHAnsi" w:hAnsiTheme="minorHAnsi"/>
              </w:rPr>
              <w:t xml:space="preserve">other </w:t>
            </w:r>
            <w:r w:rsidRPr="00D25D92">
              <w:rPr>
                <w:rFonts w:asciiTheme="minorHAnsi" w:hAnsiTheme="minorHAnsi"/>
              </w:rPr>
              <w:t>different formats, examples of which include, (but are not limited to) communications such as letters, emails and attendance notes; financial information including invoices, statements and reports; legal docum</w:t>
            </w:r>
            <w:r>
              <w:rPr>
                <w:rFonts w:asciiTheme="minorHAnsi" w:hAnsiTheme="minorHAnsi"/>
              </w:rPr>
              <w:t>ents such as contracts</w:t>
            </w:r>
            <w:r w:rsidRPr="00D25D92">
              <w:rPr>
                <w:rFonts w:asciiTheme="minorHAnsi" w:hAnsiTheme="minorHAnsi"/>
              </w:rPr>
              <w:t>; and information relating to various types of applications</w:t>
            </w:r>
            <w:r>
              <w:rPr>
                <w:rFonts w:asciiTheme="minorHAnsi" w:hAnsiTheme="minorHAnsi"/>
              </w:rPr>
              <w:t>.</w:t>
            </w:r>
          </w:p>
          <w:p w14:paraId="71E6821A" w14:textId="0216BEEA" w:rsidR="00F073E9" w:rsidRPr="001F21FF" w:rsidRDefault="00F073E9" w:rsidP="008C5D4A">
            <w:pPr>
              <w:rPr>
                <w:rFonts w:ascii="Calibri" w:hAnsi="Calibri" w:cs="Open Sans"/>
              </w:rPr>
            </w:pPr>
          </w:p>
        </w:tc>
      </w:tr>
      <w:tr w:rsidR="00F073E9" w:rsidRPr="001F21FF" w14:paraId="7E6A5339" w14:textId="77777777" w:rsidTr="00F073E9">
        <w:trPr>
          <w:trHeight w:val="432"/>
        </w:trPr>
        <w:tc>
          <w:tcPr>
            <w:tcW w:w="630" w:type="dxa"/>
          </w:tcPr>
          <w:p w14:paraId="09D70C90" w14:textId="433702C6" w:rsidR="00F073E9" w:rsidRPr="001F21FF" w:rsidRDefault="00F073E9" w:rsidP="008C5D4A">
            <w:pPr>
              <w:rPr>
                <w:rFonts w:ascii="Calibri" w:hAnsi="Calibri" w:cs="Open Sans"/>
              </w:rPr>
            </w:pPr>
            <w:r>
              <w:rPr>
                <w:rFonts w:ascii="Calibri" w:hAnsi="Calibri" w:cs="Open Sans"/>
              </w:rPr>
              <w:t>1.3</w:t>
            </w:r>
          </w:p>
        </w:tc>
        <w:tc>
          <w:tcPr>
            <w:tcW w:w="9052" w:type="dxa"/>
          </w:tcPr>
          <w:p w14:paraId="4A8E5C52" w14:textId="77777777" w:rsidR="00F073E9" w:rsidRDefault="00F073E9" w:rsidP="008C5D4A">
            <w:pPr>
              <w:rPr>
                <w:rFonts w:asciiTheme="minorHAnsi" w:hAnsiTheme="minorHAnsi"/>
              </w:rPr>
            </w:pPr>
            <w:r w:rsidRPr="00D25D92">
              <w:rPr>
                <w:rFonts w:asciiTheme="minorHAnsi" w:hAnsiTheme="minorHAnsi"/>
              </w:rPr>
              <w:t xml:space="preserve">For the purposes of this Policy, </w:t>
            </w:r>
            <w:r>
              <w:rPr>
                <w:rFonts w:asciiTheme="minorHAnsi" w:hAnsiTheme="minorHAnsi"/>
              </w:rPr>
              <w:t>‘personal data’</w:t>
            </w:r>
            <w:r w:rsidRPr="00D25D92">
              <w:rPr>
                <w:rFonts w:asciiTheme="minorHAnsi" w:hAnsiTheme="minorHAnsi"/>
              </w:rPr>
              <w:t xml:space="preserve"> include</w:t>
            </w:r>
            <w:r>
              <w:rPr>
                <w:rFonts w:asciiTheme="minorHAnsi" w:hAnsiTheme="minorHAnsi"/>
              </w:rPr>
              <w:t>s</w:t>
            </w:r>
            <w:r w:rsidRPr="00D25D92">
              <w:rPr>
                <w:rFonts w:asciiTheme="minorHAnsi" w:hAnsiTheme="minorHAnsi"/>
              </w:rPr>
              <w:t xml:space="preserve"> information in both hard copy and electronic</w:t>
            </w:r>
            <w:r w:rsidRPr="00D25D92">
              <w:rPr>
                <w:rFonts w:asciiTheme="minorHAnsi" w:hAnsiTheme="minorHAnsi"/>
                <w:spacing w:val="-3"/>
              </w:rPr>
              <w:t xml:space="preserve"> </w:t>
            </w:r>
            <w:r w:rsidRPr="00D25D92">
              <w:rPr>
                <w:rFonts w:asciiTheme="minorHAnsi" w:hAnsiTheme="minorHAnsi"/>
              </w:rPr>
              <w:t>form</w:t>
            </w:r>
            <w:r>
              <w:rPr>
                <w:rFonts w:asciiTheme="minorHAnsi" w:hAnsiTheme="minorHAnsi"/>
              </w:rPr>
              <w:t>.</w:t>
            </w:r>
          </w:p>
          <w:p w14:paraId="1A09A0CB" w14:textId="48AA5BBE" w:rsidR="00F073E9" w:rsidRPr="001F21FF" w:rsidRDefault="00F073E9" w:rsidP="008C5D4A">
            <w:pPr>
              <w:rPr>
                <w:rFonts w:ascii="Calibri" w:hAnsi="Calibri" w:cs="Open Sans"/>
              </w:rPr>
            </w:pPr>
          </w:p>
        </w:tc>
      </w:tr>
      <w:tr w:rsidR="00F073E9" w:rsidRPr="001F21FF" w14:paraId="020A06D5" w14:textId="77777777" w:rsidTr="00F073E9">
        <w:trPr>
          <w:trHeight w:val="432"/>
        </w:trPr>
        <w:tc>
          <w:tcPr>
            <w:tcW w:w="630" w:type="dxa"/>
          </w:tcPr>
          <w:p w14:paraId="51699175" w14:textId="100165CD" w:rsidR="00F073E9" w:rsidRPr="001F21FF" w:rsidRDefault="00F073E9" w:rsidP="008C5D4A">
            <w:pPr>
              <w:rPr>
                <w:rFonts w:ascii="Calibri" w:hAnsi="Calibri" w:cs="Open Sans"/>
              </w:rPr>
            </w:pPr>
            <w:r>
              <w:rPr>
                <w:rFonts w:ascii="Calibri" w:hAnsi="Calibri" w:cs="Open Sans"/>
              </w:rPr>
              <w:t>1.4</w:t>
            </w:r>
          </w:p>
        </w:tc>
        <w:tc>
          <w:tcPr>
            <w:tcW w:w="9052" w:type="dxa"/>
          </w:tcPr>
          <w:p w14:paraId="1CD51ADB" w14:textId="7E276C2E" w:rsidR="00F073E9" w:rsidRDefault="00F073E9" w:rsidP="008C5D4A">
            <w:pPr>
              <w:rPr>
                <w:rFonts w:asciiTheme="minorHAnsi" w:hAnsiTheme="minorHAnsi"/>
              </w:rPr>
            </w:pPr>
            <w:r w:rsidRPr="00D25D92">
              <w:rPr>
                <w:rFonts w:asciiTheme="minorHAnsi" w:hAnsiTheme="minorHAnsi"/>
              </w:rPr>
              <w:t>In certain circumstances it will be necess</w:t>
            </w:r>
            <w:r>
              <w:rPr>
                <w:rFonts w:asciiTheme="minorHAnsi" w:hAnsiTheme="minorHAnsi"/>
              </w:rPr>
              <w:t xml:space="preserve">ary to retain personal data including Special Categories (as defined by </w:t>
            </w:r>
            <w:r w:rsidR="00060011">
              <w:rPr>
                <w:rFonts w:asciiTheme="minorHAnsi" w:hAnsiTheme="minorHAnsi"/>
              </w:rPr>
              <w:t xml:space="preserve">the Data </w:t>
            </w:r>
            <w:r w:rsidR="0067285C">
              <w:rPr>
                <w:rFonts w:asciiTheme="minorHAnsi" w:hAnsiTheme="minorHAnsi"/>
              </w:rPr>
              <w:t>P</w:t>
            </w:r>
            <w:r w:rsidR="00060011">
              <w:rPr>
                <w:rFonts w:asciiTheme="minorHAnsi" w:hAnsiTheme="minorHAnsi"/>
              </w:rPr>
              <w:t>rotection Act</w:t>
            </w:r>
            <w:r w:rsidR="0067285C">
              <w:rPr>
                <w:rFonts w:asciiTheme="minorHAnsi" w:hAnsiTheme="minorHAnsi"/>
              </w:rPr>
              <w:t xml:space="preserve"> </w:t>
            </w:r>
            <w:r w:rsidR="00060011">
              <w:rPr>
                <w:rFonts w:asciiTheme="minorHAnsi" w:hAnsiTheme="minorHAnsi"/>
              </w:rPr>
              <w:t>2018</w:t>
            </w:r>
            <w:r w:rsidR="0067285C">
              <w:rPr>
                <w:rFonts w:asciiTheme="minorHAnsi" w:hAnsiTheme="minorHAnsi"/>
              </w:rPr>
              <w:t xml:space="preserve"> “DPA”</w:t>
            </w:r>
            <w:r>
              <w:rPr>
                <w:rFonts w:asciiTheme="minorHAnsi" w:hAnsiTheme="minorHAnsi"/>
              </w:rPr>
              <w:t>)</w:t>
            </w:r>
            <w:r w:rsidRPr="00D25D92">
              <w:rPr>
                <w:rFonts w:asciiTheme="minorHAnsi" w:hAnsiTheme="minorHAnsi"/>
              </w:rPr>
              <w:t xml:space="preserve"> in order to fulfil statutory or regulatory requirements and also to meet operational needs. </w:t>
            </w:r>
            <w:r>
              <w:rPr>
                <w:rFonts w:asciiTheme="minorHAnsi" w:hAnsiTheme="minorHAnsi"/>
              </w:rPr>
              <w:t>Personal data</w:t>
            </w:r>
            <w:r w:rsidRPr="00D25D92">
              <w:rPr>
                <w:rFonts w:asciiTheme="minorHAnsi" w:hAnsiTheme="minorHAnsi"/>
              </w:rPr>
              <w:t xml:space="preserve"> retention may also be useful to evidence events or agreements in the case of disputes</w:t>
            </w:r>
            <w:r>
              <w:rPr>
                <w:rFonts w:asciiTheme="minorHAnsi" w:hAnsiTheme="minorHAnsi"/>
              </w:rPr>
              <w:t>.</w:t>
            </w:r>
          </w:p>
          <w:p w14:paraId="59FE0B72" w14:textId="382FCCEB" w:rsidR="00F073E9" w:rsidRPr="001F21FF" w:rsidRDefault="00F073E9" w:rsidP="008C5D4A">
            <w:pPr>
              <w:rPr>
                <w:rFonts w:ascii="Calibri" w:hAnsi="Calibri" w:cs="Open Sans"/>
              </w:rPr>
            </w:pPr>
          </w:p>
        </w:tc>
      </w:tr>
      <w:tr w:rsidR="00F073E9" w:rsidRPr="001F21FF" w14:paraId="0479ADC5" w14:textId="77777777" w:rsidTr="00F073E9">
        <w:trPr>
          <w:trHeight w:val="432"/>
        </w:trPr>
        <w:tc>
          <w:tcPr>
            <w:tcW w:w="630" w:type="dxa"/>
          </w:tcPr>
          <w:p w14:paraId="3DBE9CCC" w14:textId="0B98A312" w:rsidR="00F073E9" w:rsidRPr="001F21FF" w:rsidRDefault="00F073E9" w:rsidP="008C5D4A">
            <w:pPr>
              <w:rPr>
                <w:rFonts w:ascii="Calibri" w:hAnsi="Calibri" w:cs="Open Sans"/>
              </w:rPr>
            </w:pPr>
            <w:r>
              <w:rPr>
                <w:rFonts w:ascii="Calibri" w:hAnsi="Calibri" w:cs="Open Sans"/>
              </w:rPr>
              <w:t>1.5</w:t>
            </w:r>
          </w:p>
        </w:tc>
        <w:tc>
          <w:tcPr>
            <w:tcW w:w="9052" w:type="dxa"/>
          </w:tcPr>
          <w:p w14:paraId="690D5032" w14:textId="373706F5" w:rsidR="00F073E9" w:rsidRDefault="00F073E9" w:rsidP="008C5D4A">
            <w:pPr>
              <w:rPr>
                <w:rFonts w:asciiTheme="minorHAnsi" w:hAnsiTheme="minorHAnsi"/>
              </w:rPr>
            </w:pPr>
            <w:r>
              <w:rPr>
                <w:rFonts w:asciiTheme="minorHAnsi" w:hAnsiTheme="minorHAnsi"/>
              </w:rPr>
              <w:t xml:space="preserve">The </w:t>
            </w:r>
            <w:r w:rsidR="0067285C">
              <w:rPr>
                <w:rFonts w:asciiTheme="minorHAnsi" w:hAnsiTheme="minorHAnsi"/>
              </w:rPr>
              <w:t>DPA</w:t>
            </w:r>
            <w:r>
              <w:rPr>
                <w:rFonts w:asciiTheme="minorHAnsi" w:hAnsiTheme="minorHAnsi"/>
              </w:rPr>
              <w:t xml:space="preserve"> require</w:t>
            </w:r>
            <w:r w:rsidR="0067285C">
              <w:rPr>
                <w:rFonts w:asciiTheme="minorHAnsi" w:hAnsiTheme="minorHAnsi"/>
              </w:rPr>
              <w:t>s</w:t>
            </w:r>
            <w:r>
              <w:rPr>
                <w:rFonts w:asciiTheme="minorHAnsi" w:hAnsiTheme="minorHAnsi"/>
              </w:rPr>
              <w:t xml:space="preserve"> that personal data which permits identification of data subjects shall be retained for no longer than is necessary for the purposes for which the personal data is processed.</w:t>
            </w:r>
          </w:p>
          <w:p w14:paraId="54921D44" w14:textId="69E2074D" w:rsidR="00F073E9" w:rsidRPr="001F21FF" w:rsidRDefault="00F073E9" w:rsidP="008C5D4A">
            <w:pPr>
              <w:rPr>
                <w:rFonts w:ascii="Calibri" w:hAnsi="Calibri" w:cs="Open Sans"/>
              </w:rPr>
            </w:pPr>
          </w:p>
        </w:tc>
      </w:tr>
      <w:tr w:rsidR="00F073E9" w:rsidRPr="001F21FF" w14:paraId="440AD04C" w14:textId="77777777" w:rsidTr="00F073E9">
        <w:trPr>
          <w:trHeight w:val="432"/>
        </w:trPr>
        <w:tc>
          <w:tcPr>
            <w:tcW w:w="630" w:type="dxa"/>
          </w:tcPr>
          <w:p w14:paraId="152916E2" w14:textId="224E84BD" w:rsidR="00F073E9" w:rsidRPr="001F21FF" w:rsidRDefault="00F073E9" w:rsidP="008C5D4A">
            <w:pPr>
              <w:rPr>
                <w:rFonts w:ascii="Calibri" w:hAnsi="Calibri" w:cs="Open Sans"/>
              </w:rPr>
            </w:pPr>
            <w:r>
              <w:rPr>
                <w:rFonts w:ascii="Calibri" w:hAnsi="Calibri" w:cs="Open Sans"/>
              </w:rPr>
              <w:t>1.6</w:t>
            </w:r>
          </w:p>
        </w:tc>
        <w:tc>
          <w:tcPr>
            <w:tcW w:w="9052" w:type="dxa"/>
          </w:tcPr>
          <w:p w14:paraId="39470214" w14:textId="3E0E33C7" w:rsidR="00F073E9" w:rsidRDefault="00F073E9" w:rsidP="008C5D4A">
            <w:pPr>
              <w:rPr>
                <w:rFonts w:asciiTheme="minorHAnsi" w:hAnsiTheme="minorHAnsi"/>
              </w:rPr>
            </w:pPr>
            <w:r w:rsidRPr="00D25D92">
              <w:rPr>
                <w:rFonts w:asciiTheme="minorHAnsi" w:hAnsiTheme="minorHAnsi"/>
              </w:rPr>
              <w:t>It is important for th</w:t>
            </w:r>
            <w:r>
              <w:rPr>
                <w:rFonts w:asciiTheme="minorHAnsi" w:hAnsiTheme="minorHAnsi"/>
              </w:rPr>
              <w:t xml:space="preserve">e above reasons that </w:t>
            </w:r>
            <w:r w:rsidR="00614CAE">
              <w:rPr>
                <w:rFonts w:asciiTheme="minorHAnsi" w:hAnsiTheme="minorHAnsi"/>
              </w:rPr>
              <w:t>Hope for Justice</w:t>
            </w:r>
            <w:r w:rsidRPr="00D25D92">
              <w:rPr>
                <w:rFonts w:asciiTheme="minorHAnsi" w:hAnsiTheme="minorHAnsi"/>
              </w:rPr>
              <w:t xml:space="preserve"> has in place systems for the timely and secure </w:t>
            </w:r>
            <w:r>
              <w:rPr>
                <w:rFonts w:asciiTheme="minorHAnsi" w:hAnsiTheme="minorHAnsi"/>
              </w:rPr>
              <w:t xml:space="preserve">deletion or </w:t>
            </w:r>
            <w:r w:rsidRPr="00D25D92">
              <w:rPr>
                <w:rFonts w:asciiTheme="minorHAnsi" w:hAnsiTheme="minorHAnsi"/>
              </w:rPr>
              <w:t xml:space="preserve">disposal of </w:t>
            </w:r>
            <w:r>
              <w:rPr>
                <w:rFonts w:asciiTheme="minorHAnsi" w:hAnsiTheme="minorHAnsi"/>
              </w:rPr>
              <w:t>personal data that is</w:t>
            </w:r>
            <w:r w:rsidRPr="00D25D92">
              <w:rPr>
                <w:rFonts w:asciiTheme="minorHAnsi" w:hAnsiTheme="minorHAnsi"/>
              </w:rPr>
              <w:t xml:space="preserve"> no longer required for </w:t>
            </w:r>
            <w:r>
              <w:rPr>
                <w:rFonts w:asciiTheme="minorHAnsi" w:hAnsiTheme="minorHAnsi"/>
              </w:rPr>
              <w:t>the purposes for which it is processed.</w:t>
            </w:r>
          </w:p>
          <w:p w14:paraId="645FA35B" w14:textId="742794AD" w:rsidR="00F073E9" w:rsidRPr="001F21FF" w:rsidRDefault="00F073E9" w:rsidP="008C5D4A">
            <w:pPr>
              <w:rPr>
                <w:rFonts w:ascii="Calibri" w:hAnsi="Calibri" w:cs="Open Sans"/>
              </w:rPr>
            </w:pPr>
          </w:p>
        </w:tc>
      </w:tr>
      <w:tr w:rsidR="008C5D4A" w:rsidRPr="001F21FF" w14:paraId="44FA039D" w14:textId="77777777" w:rsidTr="00F073E9">
        <w:trPr>
          <w:trHeight w:val="432"/>
        </w:trPr>
        <w:tc>
          <w:tcPr>
            <w:tcW w:w="630" w:type="dxa"/>
          </w:tcPr>
          <w:p w14:paraId="0823C456" w14:textId="77777777" w:rsidR="008C5D4A" w:rsidRPr="001F21FF" w:rsidRDefault="19BB8B97" w:rsidP="19BB8B97">
            <w:pPr>
              <w:rPr>
                <w:rFonts w:ascii="Calibri,Open Sans" w:eastAsia="Calibri,Open Sans" w:hAnsi="Calibri,Open Sans" w:cs="Calibri,Open Sans"/>
                <w:b/>
                <w:bCs/>
              </w:rPr>
            </w:pPr>
            <w:r w:rsidRPr="19BB8B97">
              <w:rPr>
                <w:rFonts w:ascii="Calibri" w:eastAsia="Calibri" w:hAnsi="Calibri" w:cs="Calibri"/>
                <w:b/>
                <w:bCs/>
              </w:rPr>
              <w:t>2.0</w:t>
            </w:r>
          </w:p>
        </w:tc>
        <w:tc>
          <w:tcPr>
            <w:tcW w:w="9052" w:type="dxa"/>
          </w:tcPr>
          <w:p w14:paraId="4E66A741" w14:textId="77777777" w:rsidR="00F073E9" w:rsidRPr="00F073E9" w:rsidRDefault="00F073E9" w:rsidP="00F073E9">
            <w:pPr>
              <w:tabs>
                <w:tab w:val="left" w:pos="839"/>
                <w:tab w:val="left" w:pos="840"/>
              </w:tabs>
              <w:rPr>
                <w:rFonts w:asciiTheme="minorHAnsi" w:hAnsiTheme="minorHAnsi"/>
                <w:b/>
              </w:rPr>
            </w:pPr>
            <w:r w:rsidRPr="00F073E9">
              <w:rPr>
                <w:rFonts w:asciiTheme="minorHAnsi" w:hAnsiTheme="minorHAnsi"/>
                <w:b/>
              </w:rPr>
              <w:t>Aims and</w:t>
            </w:r>
            <w:r w:rsidRPr="00F073E9">
              <w:rPr>
                <w:rFonts w:asciiTheme="minorHAnsi" w:hAnsiTheme="minorHAnsi"/>
                <w:b/>
                <w:spacing w:val="-1"/>
              </w:rPr>
              <w:t xml:space="preserve"> </w:t>
            </w:r>
            <w:r w:rsidRPr="00F073E9">
              <w:rPr>
                <w:rFonts w:asciiTheme="minorHAnsi" w:hAnsiTheme="minorHAnsi"/>
                <w:b/>
              </w:rPr>
              <w:t>Objectives</w:t>
            </w:r>
          </w:p>
          <w:p w14:paraId="5F2FB9DC" w14:textId="77777777" w:rsidR="008C5D4A" w:rsidRPr="001F21FF" w:rsidRDefault="008C5D4A" w:rsidP="008C5D4A">
            <w:pPr>
              <w:rPr>
                <w:rFonts w:ascii="Calibri" w:hAnsi="Calibri" w:cs="Open Sans"/>
                <w:b/>
              </w:rPr>
            </w:pPr>
          </w:p>
        </w:tc>
      </w:tr>
      <w:tr w:rsidR="008C5D4A" w:rsidRPr="001F21FF" w14:paraId="308B8CE5" w14:textId="77777777" w:rsidTr="00F073E9">
        <w:trPr>
          <w:trHeight w:val="432"/>
        </w:trPr>
        <w:tc>
          <w:tcPr>
            <w:tcW w:w="630" w:type="dxa"/>
          </w:tcPr>
          <w:p w14:paraId="46697DF1" w14:textId="77777777" w:rsidR="008C5D4A" w:rsidRPr="001F21FF" w:rsidRDefault="19BB8B97" w:rsidP="19BB8B97">
            <w:pPr>
              <w:rPr>
                <w:rFonts w:ascii="Calibri,Open Sans" w:eastAsia="Calibri,Open Sans" w:hAnsi="Calibri,Open Sans" w:cs="Calibri,Open Sans"/>
              </w:rPr>
            </w:pPr>
            <w:r w:rsidRPr="19BB8B97">
              <w:rPr>
                <w:rFonts w:ascii="Calibri" w:eastAsia="Calibri" w:hAnsi="Calibri" w:cs="Calibri"/>
              </w:rPr>
              <w:t>2.1</w:t>
            </w:r>
          </w:p>
        </w:tc>
        <w:tc>
          <w:tcPr>
            <w:tcW w:w="9052" w:type="dxa"/>
          </w:tcPr>
          <w:p w14:paraId="505098A1" w14:textId="49C40183" w:rsidR="008C5D4A" w:rsidRDefault="00F073E9" w:rsidP="008C5D4A">
            <w:pPr>
              <w:rPr>
                <w:rFonts w:asciiTheme="minorHAnsi" w:hAnsiTheme="minorHAnsi"/>
              </w:rPr>
            </w:pPr>
            <w:r w:rsidRPr="00464BAF">
              <w:rPr>
                <w:rFonts w:asciiTheme="minorHAnsi" w:hAnsiTheme="minorHAnsi"/>
              </w:rPr>
              <w:t xml:space="preserve">The key objective of this </w:t>
            </w:r>
            <w:r>
              <w:rPr>
                <w:rFonts w:asciiTheme="minorHAnsi" w:hAnsiTheme="minorHAnsi"/>
              </w:rPr>
              <w:t xml:space="preserve">Policy is to provide </w:t>
            </w:r>
            <w:r w:rsidR="00614CAE">
              <w:rPr>
                <w:rFonts w:asciiTheme="minorHAnsi" w:hAnsiTheme="minorHAnsi"/>
              </w:rPr>
              <w:t>Hope for Justice</w:t>
            </w:r>
            <w:r w:rsidRPr="00464BAF">
              <w:rPr>
                <w:rFonts w:asciiTheme="minorHAnsi" w:hAnsiTheme="minorHAnsi"/>
              </w:rPr>
              <w:t xml:space="preserve"> with a simple framework which </w:t>
            </w:r>
            <w:r>
              <w:rPr>
                <w:rFonts w:asciiTheme="minorHAnsi" w:hAnsiTheme="minorHAnsi"/>
              </w:rPr>
              <w:t>will govern decisions on how long</w:t>
            </w:r>
            <w:r w:rsidRPr="00464BAF">
              <w:rPr>
                <w:rFonts w:asciiTheme="minorHAnsi" w:hAnsiTheme="minorHAnsi"/>
              </w:rPr>
              <w:t xml:space="preserve"> </w:t>
            </w:r>
            <w:r>
              <w:rPr>
                <w:rFonts w:asciiTheme="minorHAnsi" w:hAnsiTheme="minorHAnsi"/>
              </w:rPr>
              <w:t>personal data should be retained</w:t>
            </w:r>
            <w:r w:rsidRPr="00464BAF">
              <w:rPr>
                <w:rFonts w:asciiTheme="minorHAnsi" w:hAnsiTheme="minorHAnsi"/>
              </w:rPr>
              <w:t xml:space="preserve">. In the case of </w:t>
            </w:r>
            <w:r>
              <w:rPr>
                <w:rFonts w:asciiTheme="minorHAnsi" w:hAnsiTheme="minorHAnsi"/>
              </w:rPr>
              <w:t xml:space="preserve">personal data which is to be retained by </w:t>
            </w:r>
            <w:r w:rsidR="00614CAE">
              <w:rPr>
                <w:rFonts w:asciiTheme="minorHAnsi" w:hAnsiTheme="minorHAnsi"/>
              </w:rPr>
              <w:t>Hope for Justice</w:t>
            </w:r>
            <w:r w:rsidRPr="00464BAF">
              <w:rPr>
                <w:rFonts w:asciiTheme="minorHAnsi" w:hAnsiTheme="minorHAnsi"/>
              </w:rPr>
              <w:t>, the Policy includes guid</w:t>
            </w:r>
            <w:r>
              <w:rPr>
                <w:rFonts w:asciiTheme="minorHAnsi" w:hAnsiTheme="minorHAnsi"/>
              </w:rPr>
              <w:t>ance on the format in which it</w:t>
            </w:r>
            <w:r w:rsidRPr="00464BAF">
              <w:rPr>
                <w:rFonts w:asciiTheme="minorHAnsi" w:hAnsiTheme="minorHAnsi"/>
              </w:rPr>
              <w:t xml:space="preserve"> should be retained and appropriate retention</w:t>
            </w:r>
            <w:r w:rsidRPr="00464BAF">
              <w:rPr>
                <w:rFonts w:asciiTheme="minorHAnsi" w:hAnsiTheme="minorHAnsi"/>
                <w:spacing w:val="-6"/>
              </w:rPr>
              <w:t xml:space="preserve"> </w:t>
            </w:r>
            <w:r w:rsidRPr="00464BAF">
              <w:rPr>
                <w:rFonts w:asciiTheme="minorHAnsi" w:hAnsiTheme="minorHAnsi"/>
              </w:rPr>
              <w:t>periods</w:t>
            </w:r>
            <w:r>
              <w:rPr>
                <w:rFonts w:asciiTheme="minorHAnsi" w:hAnsiTheme="minorHAnsi"/>
              </w:rPr>
              <w:t>.</w:t>
            </w:r>
          </w:p>
          <w:p w14:paraId="58117392" w14:textId="2E60BD72" w:rsidR="00F073E9" w:rsidRPr="001F21FF" w:rsidRDefault="00F073E9" w:rsidP="008C5D4A">
            <w:pPr>
              <w:rPr>
                <w:rFonts w:ascii="Calibri" w:hAnsi="Calibri" w:cs="Open Sans"/>
              </w:rPr>
            </w:pPr>
          </w:p>
        </w:tc>
      </w:tr>
      <w:tr w:rsidR="008C5D4A" w:rsidRPr="001F21FF" w14:paraId="43A39ACD" w14:textId="77777777" w:rsidTr="00F073E9">
        <w:trPr>
          <w:trHeight w:val="432"/>
        </w:trPr>
        <w:tc>
          <w:tcPr>
            <w:tcW w:w="630" w:type="dxa"/>
          </w:tcPr>
          <w:p w14:paraId="74A8F365" w14:textId="0FCA8C11" w:rsidR="008C5D4A" w:rsidRPr="001F21FF" w:rsidRDefault="00F073E9" w:rsidP="008C5D4A">
            <w:pPr>
              <w:rPr>
                <w:rFonts w:ascii="Calibri" w:hAnsi="Calibri" w:cs="Open Sans"/>
              </w:rPr>
            </w:pPr>
            <w:r>
              <w:rPr>
                <w:rFonts w:ascii="Calibri" w:hAnsi="Calibri" w:cs="Open Sans"/>
              </w:rPr>
              <w:t>2.2</w:t>
            </w:r>
          </w:p>
        </w:tc>
        <w:tc>
          <w:tcPr>
            <w:tcW w:w="9052" w:type="dxa"/>
          </w:tcPr>
          <w:p w14:paraId="6A63265C" w14:textId="287A125D" w:rsidR="008C5D4A" w:rsidRDefault="00F073E9" w:rsidP="008C5D4A">
            <w:pPr>
              <w:rPr>
                <w:rFonts w:asciiTheme="minorHAnsi" w:hAnsiTheme="minorHAnsi"/>
              </w:rPr>
            </w:pPr>
            <w:r w:rsidRPr="00464BAF">
              <w:rPr>
                <w:rFonts w:asciiTheme="minorHAnsi" w:hAnsiTheme="minorHAnsi"/>
              </w:rPr>
              <w:t xml:space="preserve">Implementation of the Policy </w:t>
            </w:r>
            <w:r>
              <w:rPr>
                <w:rFonts w:asciiTheme="minorHAnsi" w:hAnsiTheme="minorHAnsi"/>
              </w:rPr>
              <w:t xml:space="preserve">will ensure </w:t>
            </w:r>
            <w:r w:rsidR="00614CAE">
              <w:rPr>
                <w:rFonts w:asciiTheme="minorHAnsi" w:hAnsiTheme="minorHAnsi"/>
              </w:rPr>
              <w:t>Hope for Justice</w:t>
            </w:r>
            <w:r>
              <w:rPr>
                <w:rFonts w:asciiTheme="minorHAnsi" w:hAnsiTheme="minorHAnsi"/>
              </w:rPr>
              <w:t xml:space="preserve">’s compliance with </w:t>
            </w:r>
            <w:r w:rsidR="00407230">
              <w:rPr>
                <w:rFonts w:asciiTheme="minorHAnsi" w:hAnsiTheme="minorHAnsi"/>
              </w:rPr>
              <w:t>DPA</w:t>
            </w:r>
            <w:r>
              <w:rPr>
                <w:rFonts w:asciiTheme="minorHAnsi" w:hAnsiTheme="minorHAnsi"/>
              </w:rPr>
              <w:t xml:space="preserve"> and the Privacy and Electronic Communications Regulations 2003 (“PECR”)</w:t>
            </w:r>
            <w:r w:rsidRPr="00464BAF">
              <w:rPr>
                <w:rFonts w:asciiTheme="minorHAnsi" w:hAnsiTheme="minorHAnsi"/>
              </w:rPr>
              <w:t>.</w:t>
            </w:r>
          </w:p>
          <w:p w14:paraId="108E7177" w14:textId="3EFC26A4" w:rsidR="00F073E9" w:rsidRPr="001F21FF" w:rsidRDefault="00F073E9" w:rsidP="008C5D4A">
            <w:pPr>
              <w:rPr>
                <w:rFonts w:ascii="Calibri" w:hAnsi="Calibri" w:cs="Open Sans"/>
              </w:rPr>
            </w:pPr>
          </w:p>
        </w:tc>
      </w:tr>
      <w:tr w:rsidR="00F073E9" w:rsidRPr="001F21FF" w14:paraId="21FC6B81" w14:textId="77777777" w:rsidTr="00F073E9">
        <w:trPr>
          <w:trHeight w:val="432"/>
        </w:trPr>
        <w:tc>
          <w:tcPr>
            <w:tcW w:w="630" w:type="dxa"/>
          </w:tcPr>
          <w:p w14:paraId="45B60C4C" w14:textId="169025CA" w:rsidR="00F073E9" w:rsidRPr="001F21FF" w:rsidRDefault="00F073E9" w:rsidP="008C5D4A">
            <w:pPr>
              <w:rPr>
                <w:rFonts w:ascii="Calibri" w:hAnsi="Calibri" w:cs="Open Sans"/>
              </w:rPr>
            </w:pPr>
            <w:r>
              <w:rPr>
                <w:rFonts w:ascii="Calibri" w:hAnsi="Calibri" w:cs="Open Sans"/>
              </w:rPr>
              <w:t>2.3</w:t>
            </w:r>
          </w:p>
        </w:tc>
        <w:tc>
          <w:tcPr>
            <w:tcW w:w="9052" w:type="dxa"/>
          </w:tcPr>
          <w:p w14:paraId="505725D1" w14:textId="42C0F3D5" w:rsidR="00F073E9" w:rsidRDefault="00F073E9" w:rsidP="008C5D4A">
            <w:pPr>
              <w:rPr>
                <w:rFonts w:asciiTheme="minorHAnsi" w:hAnsiTheme="minorHAnsi"/>
              </w:rPr>
            </w:pPr>
            <w:r w:rsidRPr="00464BAF">
              <w:rPr>
                <w:rFonts w:asciiTheme="minorHAnsi" w:hAnsiTheme="minorHAnsi"/>
              </w:rPr>
              <w:t>The Policy clarifies the dif</w:t>
            </w:r>
            <w:r>
              <w:rPr>
                <w:rFonts w:asciiTheme="minorHAnsi" w:hAnsiTheme="minorHAnsi"/>
              </w:rPr>
              <w:t xml:space="preserve">ferent roles of </w:t>
            </w:r>
            <w:r w:rsidR="00614CAE">
              <w:rPr>
                <w:rFonts w:asciiTheme="minorHAnsi" w:hAnsiTheme="minorHAnsi"/>
              </w:rPr>
              <w:t>Hope for Justice</w:t>
            </w:r>
            <w:r>
              <w:rPr>
                <w:rFonts w:asciiTheme="minorHAnsi" w:hAnsiTheme="minorHAnsi"/>
              </w:rPr>
              <w:t xml:space="preserve"> staff</w:t>
            </w:r>
            <w:r w:rsidRPr="00464BAF">
              <w:rPr>
                <w:rFonts w:asciiTheme="minorHAnsi" w:hAnsiTheme="minorHAnsi"/>
              </w:rPr>
              <w:t xml:space="preserve"> in relation to </w:t>
            </w:r>
            <w:r>
              <w:rPr>
                <w:rFonts w:asciiTheme="minorHAnsi" w:hAnsiTheme="minorHAnsi"/>
              </w:rPr>
              <w:t>the management of personal data</w:t>
            </w:r>
            <w:r w:rsidRPr="00464BAF">
              <w:rPr>
                <w:rFonts w:asciiTheme="minorHAnsi" w:hAnsiTheme="minorHAnsi"/>
              </w:rPr>
              <w:t xml:space="preserve"> in order that they understand their responsibilities, and who to refer to if they require</w:t>
            </w:r>
            <w:r w:rsidRPr="00464BAF">
              <w:rPr>
                <w:rFonts w:asciiTheme="minorHAnsi" w:hAnsiTheme="minorHAnsi"/>
                <w:spacing w:val="-2"/>
              </w:rPr>
              <w:t xml:space="preserve"> </w:t>
            </w:r>
            <w:r w:rsidRPr="00464BAF">
              <w:rPr>
                <w:rFonts w:asciiTheme="minorHAnsi" w:hAnsiTheme="minorHAnsi"/>
              </w:rPr>
              <w:t>clarification</w:t>
            </w:r>
            <w:r>
              <w:rPr>
                <w:rFonts w:asciiTheme="minorHAnsi" w:hAnsiTheme="minorHAnsi"/>
              </w:rPr>
              <w:t>.</w:t>
            </w:r>
          </w:p>
          <w:p w14:paraId="74029433" w14:textId="4C93775E" w:rsidR="00F073E9" w:rsidRPr="001F21FF" w:rsidRDefault="00F073E9" w:rsidP="008C5D4A">
            <w:pPr>
              <w:rPr>
                <w:rFonts w:ascii="Calibri" w:hAnsi="Calibri" w:cs="Open Sans"/>
              </w:rPr>
            </w:pPr>
          </w:p>
        </w:tc>
      </w:tr>
      <w:tr w:rsidR="008C5D4A" w:rsidRPr="001F21FF" w14:paraId="35C8DE00" w14:textId="77777777" w:rsidTr="00F073E9">
        <w:trPr>
          <w:trHeight w:val="432"/>
        </w:trPr>
        <w:tc>
          <w:tcPr>
            <w:tcW w:w="630" w:type="dxa"/>
          </w:tcPr>
          <w:p w14:paraId="767689A1" w14:textId="77777777" w:rsidR="008C5D4A" w:rsidRPr="001F21FF" w:rsidRDefault="19BB8B97" w:rsidP="19BB8B97">
            <w:pPr>
              <w:rPr>
                <w:rFonts w:ascii="Calibri,Open Sans" w:eastAsia="Calibri,Open Sans" w:hAnsi="Calibri,Open Sans" w:cs="Calibri,Open Sans"/>
                <w:b/>
                <w:bCs/>
              </w:rPr>
            </w:pPr>
            <w:r w:rsidRPr="19BB8B97">
              <w:rPr>
                <w:rFonts w:ascii="Calibri" w:eastAsia="Calibri" w:hAnsi="Calibri" w:cs="Calibri"/>
                <w:b/>
                <w:bCs/>
              </w:rPr>
              <w:t>3.0</w:t>
            </w:r>
          </w:p>
        </w:tc>
        <w:tc>
          <w:tcPr>
            <w:tcW w:w="9052" w:type="dxa"/>
          </w:tcPr>
          <w:p w14:paraId="3C8AD98E" w14:textId="1FA12B78" w:rsidR="008C5D4A" w:rsidRPr="001F21FF" w:rsidRDefault="00F073E9" w:rsidP="008C5D4A">
            <w:pPr>
              <w:rPr>
                <w:rFonts w:ascii="Calibri" w:hAnsi="Calibri" w:cs="Open Sans"/>
                <w:b/>
              </w:rPr>
            </w:pPr>
            <w:r>
              <w:rPr>
                <w:rFonts w:ascii="Calibri" w:hAnsi="Calibri" w:cs="Open Sans"/>
                <w:b/>
              </w:rPr>
              <w:t>Scope</w:t>
            </w:r>
          </w:p>
        </w:tc>
      </w:tr>
      <w:tr w:rsidR="008C5D4A" w:rsidRPr="001F21FF" w14:paraId="684811B3" w14:textId="77777777" w:rsidTr="00F073E9">
        <w:trPr>
          <w:trHeight w:val="432"/>
        </w:trPr>
        <w:tc>
          <w:tcPr>
            <w:tcW w:w="630" w:type="dxa"/>
          </w:tcPr>
          <w:p w14:paraId="75F96F6D" w14:textId="77777777" w:rsidR="008C5D4A" w:rsidRPr="001F21FF" w:rsidRDefault="19BB8B97" w:rsidP="19BB8B97">
            <w:pPr>
              <w:rPr>
                <w:rFonts w:ascii="Calibri,Open Sans" w:eastAsia="Calibri,Open Sans" w:hAnsi="Calibri,Open Sans" w:cs="Calibri,Open Sans"/>
              </w:rPr>
            </w:pPr>
            <w:r w:rsidRPr="19BB8B97">
              <w:rPr>
                <w:rFonts w:ascii="Calibri" w:eastAsia="Calibri" w:hAnsi="Calibri" w:cs="Calibri"/>
              </w:rPr>
              <w:t>3.1</w:t>
            </w:r>
          </w:p>
        </w:tc>
        <w:tc>
          <w:tcPr>
            <w:tcW w:w="9052" w:type="dxa"/>
          </w:tcPr>
          <w:p w14:paraId="4BC6D606" w14:textId="0BF22907" w:rsidR="008C5D4A" w:rsidRDefault="00F073E9" w:rsidP="008C5D4A">
            <w:pPr>
              <w:rPr>
                <w:rFonts w:asciiTheme="minorHAnsi" w:hAnsiTheme="minorHAnsi"/>
              </w:rPr>
            </w:pPr>
            <w:r>
              <w:rPr>
                <w:rFonts w:asciiTheme="minorHAnsi" w:hAnsiTheme="minorHAnsi"/>
              </w:rPr>
              <w:t>This Data</w:t>
            </w:r>
            <w:r w:rsidRPr="00464BAF">
              <w:rPr>
                <w:rFonts w:asciiTheme="minorHAnsi" w:hAnsiTheme="minorHAnsi"/>
              </w:rPr>
              <w:t xml:space="preserve"> Retention P</w:t>
            </w:r>
            <w:r>
              <w:rPr>
                <w:rFonts w:asciiTheme="minorHAnsi" w:hAnsiTheme="minorHAnsi"/>
              </w:rPr>
              <w:t xml:space="preserve">olicy applies to all personal data including Special Categories held by </w:t>
            </w:r>
            <w:r w:rsidR="00614CAE">
              <w:rPr>
                <w:rFonts w:asciiTheme="minorHAnsi" w:hAnsiTheme="minorHAnsi"/>
              </w:rPr>
              <w:t>Hope for Justice</w:t>
            </w:r>
            <w:r w:rsidRPr="00464BAF">
              <w:rPr>
                <w:rFonts w:asciiTheme="minorHAnsi" w:hAnsiTheme="minorHAnsi"/>
              </w:rPr>
              <w:t xml:space="preserve"> and its external service providers </w:t>
            </w:r>
            <w:r>
              <w:rPr>
                <w:rFonts w:asciiTheme="minorHAnsi" w:hAnsiTheme="minorHAnsi"/>
              </w:rPr>
              <w:t xml:space="preserve">who process information on </w:t>
            </w:r>
            <w:r w:rsidR="00614CAE">
              <w:rPr>
                <w:rFonts w:asciiTheme="minorHAnsi" w:hAnsiTheme="minorHAnsi"/>
              </w:rPr>
              <w:t>Hope for Justice</w:t>
            </w:r>
            <w:r w:rsidRPr="00464BAF">
              <w:rPr>
                <w:rFonts w:asciiTheme="minorHAnsi" w:hAnsiTheme="minorHAnsi"/>
              </w:rPr>
              <w:t>’s</w:t>
            </w:r>
            <w:r w:rsidRPr="00464BAF">
              <w:rPr>
                <w:rFonts w:asciiTheme="minorHAnsi" w:hAnsiTheme="minorHAnsi"/>
                <w:spacing w:val="-1"/>
              </w:rPr>
              <w:t xml:space="preserve"> </w:t>
            </w:r>
            <w:r w:rsidRPr="00464BAF">
              <w:rPr>
                <w:rFonts w:asciiTheme="minorHAnsi" w:hAnsiTheme="minorHAnsi"/>
              </w:rPr>
              <w:t>behalf</w:t>
            </w:r>
            <w:r w:rsidR="00D0085C">
              <w:rPr>
                <w:rFonts w:asciiTheme="minorHAnsi" w:hAnsiTheme="minorHAnsi"/>
              </w:rPr>
              <w:t>.</w:t>
            </w:r>
          </w:p>
          <w:p w14:paraId="6B53273D" w14:textId="77777777" w:rsidR="00D0085C" w:rsidRDefault="00D0085C" w:rsidP="008C5D4A">
            <w:pPr>
              <w:rPr>
                <w:rFonts w:asciiTheme="minorHAnsi" w:hAnsiTheme="minorHAnsi"/>
              </w:rPr>
            </w:pPr>
          </w:p>
          <w:p w14:paraId="7D34A919" w14:textId="5E93162E" w:rsidR="00F073E9" w:rsidRPr="001F21FF" w:rsidRDefault="00F073E9" w:rsidP="008C5D4A">
            <w:pPr>
              <w:rPr>
                <w:rFonts w:ascii="Calibri" w:hAnsi="Calibri" w:cs="Open Sans"/>
              </w:rPr>
            </w:pPr>
          </w:p>
        </w:tc>
      </w:tr>
      <w:tr w:rsidR="008C5D4A" w:rsidRPr="001F21FF" w14:paraId="4C72B0A1" w14:textId="77777777" w:rsidTr="00F073E9">
        <w:trPr>
          <w:trHeight w:val="432"/>
        </w:trPr>
        <w:tc>
          <w:tcPr>
            <w:tcW w:w="630" w:type="dxa"/>
          </w:tcPr>
          <w:p w14:paraId="2FDBF657" w14:textId="77777777" w:rsidR="008C5D4A" w:rsidRPr="001F21FF" w:rsidRDefault="008C5D4A" w:rsidP="008C5D4A">
            <w:pPr>
              <w:rPr>
                <w:rFonts w:ascii="Calibri" w:hAnsi="Calibri" w:cs="Open Sans"/>
              </w:rPr>
            </w:pPr>
          </w:p>
        </w:tc>
        <w:tc>
          <w:tcPr>
            <w:tcW w:w="9052" w:type="dxa"/>
          </w:tcPr>
          <w:p w14:paraId="24863A2E" w14:textId="77777777" w:rsidR="008C5D4A" w:rsidRPr="001F21FF" w:rsidRDefault="008C5D4A" w:rsidP="008C5D4A">
            <w:pPr>
              <w:rPr>
                <w:rFonts w:ascii="Calibri" w:hAnsi="Calibri" w:cs="Open Sans"/>
              </w:rPr>
            </w:pPr>
          </w:p>
        </w:tc>
      </w:tr>
      <w:tr w:rsidR="005004EC" w:rsidRPr="001F21FF" w14:paraId="14D542F5"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62FECD14" w14:textId="514EE218" w:rsidR="005004EC" w:rsidRPr="001F21FF" w:rsidRDefault="005004EC" w:rsidP="0041642B">
            <w:pPr>
              <w:rPr>
                <w:rFonts w:ascii="Calibri,Open Sans" w:eastAsia="Calibri,Open Sans" w:hAnsi="Calibri,Open Sans" w:cs="Calibri,Open Sans"/>
                <w:b/>
                <w:bCs/>
              </w:rPr>
            </w:pPr>
            <w:r>
              <w:rPr>
                <w:rFonts w:ascii="Calibri" w:eastAsia="Calibri" w:hAnsi="Calibri" w:cs="Calibri"/>
                <w:b/>
                <w:bCs/>
              </w:rPr>
              <w:t>4</w:t>
            </w:r>
            <w:r w:rsidRPr="19BB8B97">
              <w:rPr>
                <w:rFonts w:ascii="Calibri" w:eastAsia="Calibri" w:hAnsi="Calibri" w:cs="Calibri"/>
                <w:b/>
                <w:bCs/>
              </w:rPr>
              <w:t>.0</w:t>
            </w:r>
          </w:p>
        </w:tc>
        <w:tc>
          <w:tcPr>
            <w:tcW w:w="9052" w:type="dxa"/>
            <w:tcBorders>
              <w:top w:val="nil"/>
              <w:left w:val="nil"/>
              <w:bottom w:val="nil"/>
              <w:right w:val="nil"/>
            </w:tcBorders>
          </w:tcPr>
          <w:p w14:paraId="640E54BA" w14:textId="3D778688" w:rsidR="005004EC" w:rsidRPr="00F073E9" w:rsidRDefault="00F073E9" w:rsidP="00F073E9">
            <w:pPr>
              <w:tabs>
                <w:tab w:val="left" w:pos="840"/>
                <w:tab w:val="left" w:pos="841"/>
              </w:tabs>
              <w:spacing w:before="1"/>
              <w:rPr>
                <w:rFonts w:asciiTheme="minorHAnsi" w:hAnsiTheme="minorHAnsi"/>
                <w:b/>
              </w:rPr>
            </w:pPr>
            <w:r w:rsidRPr="00F073E9">
              <w:rPr>
                <w:rFonts w:asciiTheme="minorHAnsi" w:hAnsiTheme="minorHAnsi"/>
                <w:b/>
              </w:rPr>
              <w:t>Policy</w:t>
            </w:r>
            <w:r w:rsidRPr="00F073E9">
              <w:rPr>
                <w:rFonts w:asciiTheme="minorHAnsi" w:hAnsiTheme="minorHAnsi"/>
                <w:b/>
                <w:spacing w:val="-4"/>
              </w:rPr>
              <w:t xml:space="preserve"> </w:t>
            </w:r>
            <w:r w:rsidRPr="00F073E9">
              <w:rPr>
                <w:rFonts w:asciiTheme="minorHAnsi" w:hAnsiTheme="minorHAnsi"/>
                <w:b/>
              </w:rPr>
              <w:t>Statement</w:t>
            </w:r>
          </w:p>
        </w:tc>
      </w:tr>
      <w:tr w:rsidR="005004EC" w:rsidRPr="001F21FF" w14:paraId="53EBA5A8"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54766D3F" w14:textId="11C8A786" w:rsidR="005004EC" w:rsidRPr="001F21FF" w:rsidRDefault="005004EC" w:rsidP="0041642B">
            <w:pPr>
              <w:rPr>
                <w:rFonts w:ascii="Calibri,Open Sans" w:eastAsia="Calibri,Open Sans" w:hAnsi="Calibri,Open Sans" w:cs="Calibri,Open Sans"/>
              </w:rPr>
            </w:pPr>
            <w:r>
              <w:rPr>
                <w:rFonts w:ascii="Calibri" w:eastAsia="Calibri" w:hAnsi="Calibri" w:cs="Calibri"/>
              </w:rPr>
              <w:lastRenderedPageBreak/>
              <w:t>4</w:t>
            </w:r>
            <w:r w:rsidRPr="19BB8B97">
              <w:rPr>
                <w:rFonts w:ascii="Calibri" w:eastAsia="Calibri" w:hAnsi="Calibri" w:cs="Calibri"/>
              </w:rPr>
              <w:t>.1</w:t>
            </w:r>
          </w:p>
        </w:tc>
        <w:tc>
          <w:tcPr>
            <w:tcW w:w="9052" w:type="dxa"/>
            <w:tcBorders>
              <w:top w:val="nil"/>
              <w:left w:val="nil"/>
              <w:bottom w:val="nil"/>
              <w:right w:val="nil"/>
            </w:tcBorders>
          </w:tcPr>
          <w:p w14:paraId="690B05E7" w14:textId="77777777" w:rsidR="005004EC" w:rsidRDefault="00F073E9" w:rsidP="0041642B">
            <w:pPr>
              <w:rPr>
                <w:rFonts w:asciiTheme="minorHAnsi" w:hAnsiTheme="minorHAnsi"/>
              </w:rPr>
            </w:pPr>
            <w:r>
              <w:rPr>
                <w:rFonts w:asciiTheme="minorHAnsi" w:hAnsiTheme="minorHAnsi"/>
              </w:rPr>
              <w:t>Hope for Justice will ensure that personal data including special categories</w:t>
            </w:r>
            <w:r w:rsidRPr="00464BAF">
              <w:rPr>
                <w:rFonts w:asciiTheme="minorHAnsi" w:hAnsiTheme="minorHAnsi"/>
              </w:rPr>
              <w:t xml:space="preserve"> </w:t>
            </w:r>
            <w:r>
              <w:rPr>
                <w:rFonts w:asciiTheme="minorHAnsi" w:hAnsiTheme="minorHAnsi"/>
              </w:rPr>
              <w:t>is not retained</w:t>
            </w:r>
            <w:r w:rsidRPr="00464BAF">
              <w:rPr>
                <w:rFonts w:asciiTheme="minorHAnsi" w:hAnsiTheme="minorHAnsi"/>
              </w:rPr>
              <w:t xml:space="preserve"> longer than is necessary </w:t>
            </w:r>
            <w:r>
              <w:rPr>
                <w:rFonts w:asciiTheme="minorHAnsi" w:hAnsiTheme="minorHAnsi"/>
              </w:rPr>
              <w:t xml:space="preserve">for the purposes for which it is being processed </w:t>
            </w:r>
            <w:r w:rsidRPr="00464BAF">
              <w:rPr>
                <w:rFonts w:asciiTheme="minorHAnsi" w:hAnsiTheme="minorHAnsi"/>
              </w:rPr>
              <w:t xml:space="preserve">and will retain the minimum amount of </w:t>
            </w:r>
            <w:r>
              <w:rPr>
                <w:rFonts w:asciiTheme="minorHAnsi" w:hAnsiTheme="minorHAnsi"/>
              </w:rPr>
              <w:t>personal data</w:t>
            </w:r>
            <w:r w:rsidRPr="00464BAF">
              <w:rPr>
                <w:rFonts w:asciiTheme="minorHAnsi" w:hAnsiTheme="minorHAnsi"/>
              </w:rPr>
              <w:t xml:space="preserve"> th</w:t>
            </w:r>
            <w:r>
              <w:rPr>
                <w:rFonts w:asciiTheme="minorHAnsi" w:hAnsiTheme="minorHAnsi"/>
              </w:rPr>
              <w:t>at it requires to carry out the processes required to achieve its objectives.</w:t>
            </w:r>
          </w:p>
          <w:p w14:paraId="5E49E539" w14:textId="45EB2584" w:rsidR="00F073E9" w:rsidRPr="001F21FF" w:rsidRDefault="00F073E9" w:rsidP="0041642B">
            <w:pPr>
              <w:rPr>
                <w:rFonts w:ascii="Calibri" w:hAnsi="Calibri" w:cs="Open Sans"/>
              </w:rPr>
            </w:pPr>
          </w:p>
        </w:tc>
      </w:tr>
      <w:tr w:rsidR="005004EC" w:rsidRPr="001F21FF" w14:paraId="677FC420"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15699A55" w14:textId="05C3DFBE" w:rsidR="005004EC" w:rsidRPr="001F21FF" w:rsidRDefault="005004EC" w:rsidP="0041642B">
            <w:pPr>
              <w:rPr>
                <w:rFonts w:ascii="Calibri,Open Sans" w:eastAsia="Calibri,Open Sans" w:hAnsi="Calibri,Open Sans" w:cs="Calibri,Open Sans"/>
                <w:b/>
                <w:bCs/>
              </w:rPr>
            </w:pPr>
            <w:r>
              <w:rPr>
                <w:rFonts w:ascii="Calibri" w:eastAsia="Calibri" w:hAnsi="Calibri" w:cs="Calibri"/>
                <w:b/>
                <w:bCs/>
              </w:rPr>
              <w:t>5</w:t>
            </w:r>
            <w:r w:rsidRPr="19BB8B97">
              <w:rPr>
                <w:rFonts w:ascii="Calibri" w:eastAsia="Calibri" w:hAnsi="Calibri" w:cs="Calibri"/>
                <w:b/>
                <w:bCs/>
              </w:rPr>
              <w:t>.0</w:t>
            </w:r>
          </w:p>
        </w:tc>
        <w:tc>
          <w:tcPr>
            <w:tcW w:w="9052" w:type="dxa"/>
            <w:tcBorders>
              <w:top w:val="nil"/>
              <w:left w:val="nil"/>
              <w:bottom w:val="nil"/>
              <w:right w:val="nil"/>
            </w:tcBorders>
          </w:tcPr>
          <w:p w14:paraId="0F526881" w14:textId="541E4EB0" w:rsidR="005004EC" w:rsidRPr="001F21FF" w:rsidRDefault="00F073E9" w:rsidP="0041642B">
            <w:pPr>
              <w:rPr>
                <w:rFonts w:ascii="Calibri" w:hAnsi="Calibri" w:cs="Open Sans"/>
                <w:b/>
              </w:rPr>
            </w:pPr>
            <w:r w:rsidRPr="00464BAF">
              <w:rPr>
                <w:rFonts w:asciiTheme="minorHAnsi" w:hAnsiTheme="minorHAnsi"/>
                <w:b/>
              </w:rPr>
              <w:t xml:space="preserve">Retention and </w:t>
            </w:r>
            <w:r>
              <w:rPr>
                <w:rFonts w:asciiTheme="minorHAnsi" w:hAnsiTheme="minorHAnsi"/>
                <w:b/>
              </w:rPr>
              <w:t>Deletion/</w:t>
            </w:r>
            <w:r w:rsidRPr="00464BAF">
              <w:rPr>
                <w:rFonts w:asciiTheme="minorHAnsi" w:hAnsiTheme="minorHAnsi"/>
                <w:b/>
              </w:rPr>
              <w:t>Disposal</w:t>
            </w:r>
            <w:r w:rsidRPr="00464BAF">
              <w:rPr>
                <w:rFonts w:asciiTheme="minorHAnsi" w:hAnsiTheme="minorHAnsi"/>
                <w:b/>
                <w:spacing w:val="-1"/>
              </w:rPr>
              <w:t xml:space="preserve"> </w:t>
            </w:r>
            <w:r w:rsidRPr="00464BAF">
              <w:rPr>
                <w:rFonts w:asciiTheme="minorHAnsi" w:hAnsiTheme="minorHAnsi"/>
                <w:b/>
              </w:rPr>
              <w:t>Policy</w:t>
            </w:r>
          </w:p>
        </w:tc>
      </w:tr>
      <w:tr w:rsidR="005004EC" w:rsidRPr="001F21FF" w14:paraId="688E343F"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2B93E05C" w14:textId="197D0E00" w:rsidR="005004EC" w:rsidRPr="001F21FF" w:rsidRDefault="005004EC" w:rsidP="0041642B">
            <w:pPr>
              <w:rPr>
                <w:rFonts w:ascii="Calibri,Open Sans" w:eastAsia="Calibri,Open Sans" w:hAnsi="Calibri,Open Sans" w:cs="Calibri,Open Sans"/>
              </w:rPr>
            </w:pPr>
            <w:r>
              <w:rPr>
                <w:rFonts w:ascii="Calibri" w:eastAsia="Calibri" w:hAnsi="Calibri" w:cs="Calibri"/>
              </w:rPr>
              <w:t>5</w:t>
            </w:r>
            <w:r w:rsidRPr="19BB8B97">
              <w:rPr>
                <w:rFonts w:ascii="Calibri" w:eastAsia="Calibri" w:hAnsi="Calibri" w:cs="Calibri"/>
              </w:rPr>
              <w:t>.1</w:t>
            </w:r>
          </w:p>
        </w:tc>
        <w:tc>
          <w:tcPr>
            <w:tcW w:w="9052" w:type="dxa"/>
            <w:tcBorders>
              <w:top w:val="nil"/>
              <w:left w:val="nil"/>
              <w:bottom w:val="nil"/>
              <w:right w:val="nil"/>
            </w:tcBorders>
          </w:tcPr>
          <w:p w14:paraId="150578DE" w14:textId="77777777" w:rsidR="005004EC" w:rsidRDefault="00F073E9" w:rsidP="0041642B">
            <w:pPr>
              <w:rPr>
                <w:rFonts w:asciiTheme="minorHAnsi" w:hAnsiTheme="minorHAnsi"/>
              </w:rPr>
            </w:pPr>
            <w:r w:rsidRPr="00464BAF">
              <w:rPr>
                <w:rFonts w:asciiTheme="minorHAnsi" w:hAnsiTheme="minorHAnsi"/>
              </w:rPr>
              <w:t xml:space="preserve">Decisions relating to the retention and </w:t>
            </w:r>
            <w:r>
              <w:rPr>
                <w:rFonts w:asciiTheme="minorHAnsi" w:hAnsiTheme="minorHAnsi"/>
              </w:rPr>
              <w:t>deletion/</w:t>
            </w:r>
            <w:r w:rsidRPr="00464BAF">
              <w:rPr>
                <w:rFonts w:asciiTheme="minorHAnsi" w:hAnsiTheme="minorHAnsi"/>
              </w:rPr>
              <w:t xml:space="preserve">disposal of </w:t>
            </w:r>
            <w:r>
              <w:rPr>
                <w:rFonts w:asciiTheme="minorHAnsi" w:hAnsiTheme="minorHAnsi"/>
              </w:rPr>
              <w:t>personal data</w:t>
            </w:r>
            <w:r w:rsidRPr="00464BAF">
              <w:rPr>
                <w:rFonts w:asciiTheme="minorHAnsi" w:hAnsiTheme="minorHAnsi"/>
              </w:rPr>
              <w:t xml:space="preserve"> should be taken in accordance with this Policy, in</w:t>
            </w:r>
            <w:r w:rsidRPr="00464BAF">
              <w:rPr>
                <w:rFonts w:asciiTheme="minorHAnsi" w:hAnsiTheme="minorHAnsi"/>
                <w:spacing w:val="-4"/>
              </w:rPr>
              <w:t xml:space="preserve"> </w:t>
            </w:r>
            <w:r>
              <w:rPr>
                <w:rFonts w:asciiTheme="minorHAnsi" w:hAnsiTheme="minorHAnsi"/>
              </w:rPr>
              <w:t>particular: Appendix 1</w:t>
            </w:r>
            <w:r w:rsidRPr="00AE166B">
              <w:rPr>
                <w:rFonts w:asciiTheme="minorHAnsi" w:hAnsiTheme="minorHAnsi"/>
              </w:rPr>
              <w:t xml:space="preserve"> – Personal Data</w:t>
            </w:r>
            <w:r>
              <w:rPr>
                <w:rFonts w:asciiTheme="minorHAnsi" w:hAnsiTheme="minorHAnsi"/>
              </w:rPr>
              <w:t xml:space="preserve"> Retention Schedule.</w:t>
            </w:r>
          </w:p>
          <w:p w14:paraId="6312F001" w14:textId="5C9D2E48" w:rsidR="00F073E9" w:rsidRPr="001F21FF" w:rsidRDefault="00F073E9" w:rsidP="0041642B">
            <w:pPr>
              <w:rPr>
                <w:rFonts w:ascii="Calibri" w:hAnsi="Calibri" w:cs="Open Sans"/>
              </w:rPr>
            </w:pPr>
          </w:p>
        </w:tc>
      </w:tr>
      <w:tr w:rsidR="005004EC" w:rsidRPr="001F21FF" w14:paraId="5391B790"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32774594" w14:textId="304D3789" w:rsidR="005004EC" w:rsidRPr="001F21FF" w:rsidRDefault="00F073E9" w:rsidP="0041642B">
            <w:pPr>
              <w:rPr>
                <w:rFonts w:ascii="Calibri" w:hAnsi="Calibri" w:cs="Open Sans"/>
              </w:rPr>
            </w:pPr>
            <w:r>
              <w:rPr>
                <w:rFonts w:ascii="Calibri" w:hAnsi="Calibri" w:cs="Open Sans"/>
              </w:rPr>
              <w:t>5.2</w:t>
            </w:r>
          </w:p>
        </w:tc>
        <w:tc>
          <w:tcPr>
            <w:tcW w:w="9052" w:type="dxa"/>
            <w:tcBorders>
              <w:top w:val="nil"/>
              <w:left w:val="nil"/>
              <w:bottom w:val="nil"/>
              <w:right w:val="nil"/>
            </w:tcBorders>
          </w:tcPr>
          <w:p w14:paraId="1D5841C9" w14:textId="77777777" w:rsidR="005004EC" w:rsidRDefault="00F073E9" w:rsidP="0041642B">
            <w:pPr>
              <w:rPr>
                <w:rFonts w:asciiTheme="minorHAnsi" w:hAnsiTheme="minorHAnsi"/>
              </w:rPr>
            </w:pPr>
            <w:r w:rsidRPr="00464BAF">
              <w:rPr>
                <w:rFonts w:asciiTheme="minorHAnsi" w:hAnsiTheme="minorHAnsi"/>
              </w:rPr>
              <w:t>In circumstanc</w:t>
            </w:r>
            <w:r>
              <w:rPr>
                <w:rFonts w:asciiTheme="minorHAnsi" w:hAnsiTheme="minorHAnsi"/>
              </w:rPr>
              <w:t>es where a retention period of</w:t>
            </w:r>
            <w:r w:rsidRPr="00464BAF">
              <w:rPr>
                <w:rFonts w:asciiTheme="minorHAnsi" w:hAnsiTheme="minorHAnsi"/>
              </w:rPr>
              <w:t xml:space="preserve"> specific </w:t>
            </w:r>
            <w:r>
              <w:rPr>
                <w:rFonts w:asciiTheme="minorHAnsi" w:hAnsiTheme="minorHAnsi"/>
              </w:rPr>
              <w:t>personal data</w:t>
            </w:r>
            <w:r w:rsidRPr="00464BAF">
              <w:rPr>
                <w:rFonts w:asciiTheme="minorHAnsi" w:hAnsiTheme="minorHAnsi"/>
              </w:rPr>
              <w:t xml:space="preserve"> has expired, a review should always be carried out prior to a decision being made to </w:t>
            </w:r>
            <w:r>
              <w:rPr>
                <w:rFonts w:asciiTheme="minorHAnsi" w:hAnsiTheme="minorHAnsi"/>
              </w:rPr>
              <w:t>delete/</w:t>
            </w:r>
            <w:r w:rsidRPr="00464BAF">
              <w:rPr>
                <w:rFonts w:asciiTheme="minorHAnsi" w:hAnsiTheme="minorHAnsi"/>
              </w:rPr>
              <w:t>dispose of it. This review should not be particularly time consuming and should be straightforward. If the d</w:t>
            </w:r>
            <w:r>
              <w:rPr>
                <w:rFonts w:asciiTheme="minorHAnsi" w:hAnsiTheme="minorHAnsi"/>
              </w:rPr>
              <w:t>ecision to dispose of some personal data</w:t>
            </w:r>
            <w:r w:rsidRPr="00464BAF">
              <w:rPr>
                <w:rFonts w:asciiTheme="minorHAnsi" w:hAnsiTheme="minorHAnsi"/>
              </w:rPr>
              <w:t xml:space="preserve"> is taken, then consideration should be given to the method of</w:t>
            </w:r>
            <w:r>
              <w:rPr>
                <w:rFonts w:asciiTheme="minorHAnsi" w:hAnsiTheme="minorHAnsi"/>
              </w:rPr>
              <w:t xml:space="preserve"> </w:t>
            </w:r>
            <w:r w:rsidRPr="00400651">
              <w:rPr>
                <w:rFonts w:asciiTheme="minorHAnsi" w:hAnsiTheme="minorHAnsi"/>
              </w:rPr>
              <w:t>disposal to be used</w:t>
            </w:r>
            <w:r>
              <w:rPr>
                <w:rFonts w:asciiTheme="minorHAnsi" w:hAnsiTheme="minorHAnsi"/>
              </w:rPr>
              <w:t>.</w:t>
            </w:r>
          </w:p>
          <w:p w14:paraId="24B51FCD" w14:textId="5DE08CA4" w:rsidR="00F073E9" w:rsidRPr="001F21FF" w:rsidRDefault="00F073E9" w:rsidP="0041642B">
            <w:pPr>
              <w:rPr>
                <w:rFonts w:ascii="Calibri" w:hAnsi="Calibri" w:cs="Open Sans"/>
              </w:rPr>
            </w:pPr>
          </w:p>
        </w:tc>
      </w:tr>
      <w:tr w:rsidR="00F073E9" w:rsidRPr="001F21FF" w14:paraId="16A720D2"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629B6363" w14:textId="791CC20E" w:rsidR="00F073E9" w:rsidRPr="001F21FF" w:rsidRDefault="00F073E9" w:rsidP="0041642B">
            <w:pPr>
              <w:rPr>
                <w:rFonts w:ascii="Calibri,Open Sans" w:eastAsia="Calibri,Open Sans" w:hAnsi="Calibri,Open Sans" w:cs="Calibri,Open Sans"/>
                <w:b/>
                <w:bCs/>
              </w:rPr>
            </w:pPr>
            <w:r>
              <w:rPr>
                <w:rFonts w:ascii="Calibri" w:eastAsia="Calibri" w:hAnsi="Calibri" w:cs="Calibri"/>
                <w:b/>
                <w:bCs/>
              </w:rPr>
              <w:t>6</w:t>
            </w:r>
            <w:r w:rsidRPr="19BB8B97">
              <w:rPr>
                <w:rFonts w:ascii="Calibri" w:eastAsia="Calibri" w:hAnsi="Calibri" w:cs="Calibri"/>
                <w:b/>
                <w:bCs/>
              </w:rPr>
              <w:t>.0</w:t>
            </w:r>
          </w:p>
        </w:tc>
        <w:tc>
          <w:tcPr>
            <w:tcW w:w="9052" w:type="dxa"/>
            <w:tcBorders>
              <w:top w:val="nil"/>
              <w:left w:val="nil"/>
              <w:bottom w:val="nil"/>
              <w:right w:val="nil"/>
            </w:tcBorders>
          </w:tcPr>
          <w:p w14:paraId="7E40CA8B" w14:textId="22BCFC0F" w:rsidR="00F073E9" w:rsidRPr="001F21FF" w:rsidRDefault="00F073E9" w:rsidP="0041642B">
            <w:pPr>
              <w:rPr>
                <w:rFonts w:ascii="Calibri" w:hAnsi="Calibri" w:cs="Open Sans"/>
                <w:b/>
              </w:rPr>
            </w:pPr>
            <w:r w:rsidRPr="00464BAF">
              <w:rPr>
                <w:rFonts w:asciiTheme="minorHAnsi" w:hAnsiTheme="minorHAnsi"/>
                <w:b/>
              </w:rPr>
              <w:t>Roles and</w:t>
            </w:r>
            <w:r w:rsidRPr="00464BAF">
              <w:rPr>
                <w:rFonts w:asciiTheme="minorHAnsi" w:hAnsiTheme="minorHAnsi"/>
                <w:b/>
                <w:spacing w:val="-1"/>
              </w:rPr>
              <w:t xml:space="preserve"> </w:t>
            </w:r>
            <w:r w:rsidRPr="00464BAF">
              <w:rPr>
                <w:rFonts w:asciiTheme="minorHAnsi" w:hAnsiTheme="minorHAnsi"/>
                <w:b/>
              </w:rPr>
              <w:t>Responsibilities</w:t>
            </w:r>
          </w:p>
        </w:tc>
      </w:tr>
      <w:tr w:rsidR="00F073E9" w:rsidRPr="001F21FF" w14:paraId="0EF113C8"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24A2E88A" w14:textId="785F971C" w:rsidR="00F073E9" w:rsidRPr="001F21FF" w:rsidRDefault="00F073E9" w:rsidP="0041642B">
            <w:pPr>
              <w:rPr>
                <w:rFonts w:ascii="Calibri,Open Sans" w:eastAsia="Calibri,Open Sans" w:hAnsi="Calibri,Open Sans" w:cs="Calibri,Open Sans"/>
              </w:rPr>
            </w:pPr>
            <w:r>
              <w:rPr>
                <w:rFonts w:ascii="Calibri" w:eastAsia="Calibri" w:hAnsi="Calibri" w:cs="Calibri"/>
              </w:rPr>
              <w:t>6</w:t>
            </w:r>
            <w:r w:rsidRPr="19BB8B97">
              <w:rPr>
                <w:rFonts w:ascii="Calibri" w:eastAsia="Calibri" w:hAnsi="Calibri" w:cs="Calibri"/>
              </w:rPr>
              <w:t>.1</w:t>
            </w:r>
          </w:p>
        </w:tc>
        <w:tc>
          <w:tcPr>
            <w:tcW w:w="9052" w:type="dxa"/>
            <w:tcBorders>
              <w:top w:val="nil"/>
              <w:left w:val="nil"/>
              <w:bottom w:val="nil"/>
              <w:right w:val="nil"/>
            </w:tcBorders>
          </w:tcPr>
          <w:p w14:paraId="7C99311F" w14:textId="77777777" w:rsidR="00F073E9" w:rsidRDefault="00F073E9" w:rsidP="0041642B">
            <w:pPr>
              <w:rPr>
                <w:rFonts w:asciiTheme="minorHAnsi" w:hAnsiTheme="minorHAnsi"/>
              </w:rPr>
            </w:pPr>
            <w:r>
              <w:rPr>
                <w:rFonts w:asciiTheme="minorHAnsi" w:hAnsiTheme="minorHAnsi"/>
              </w:rPr>
              <w:t>Departmental Managers</w:t>
            </w:r>
            <w:r w:rsidRPr="00464BAF">
              <w:rPr>
                <w:rFonts w:asciiTheme="minorHAnsi" w:hAnsiTheme="minorHAnsi"/>
              </w:rPr>
              <w:t xml:space="preserve"> will be responsible for determining (in accordance with this Policy) whether to retain or </w:t>
            </w:r>
            <w:r>
              <w:rPr>
                <w:rFonts w:asciiTheme="minorHAnsi" w:hAnsiTheme="minorHAnsi"/>
              </w:rPr>
              <w:t>delete/</w:t>
            </w:r>
            <w:r w:rsidRPr="00464BAF">
              <w:rPr>
                <w:rFonts w:asciiTheme="minorHAnsi" w:hAnsiTheme="minorHAnsi"/>
              </w:rPr>
              <w:t xml:space="preserve">dispose of specific </w:t>
            </w:r>
            <w:r>
              <w:rPr>
                <w:rFonts w:asciiTheme="minorHAnsi" w:hAnsiTheme="minorHAnsi"/>
              </w:rPr>
              <w:t>personal data</w:t>
            </w:r>
            <w:r w:rsidRPr="00464BAF">
              <w:rPr>
                <w:rFonts w:asciiTheme="minorHAnsi" w:hAnsiTheme="minorHAnsi"/>
              </w:rPr>
              <w:t xml:space="preserve"> within the remit of their </w:t>
            </w:r>
            <w:r>
              <w:rPr>
                <w:rFonts w:asciiTheme="minorHAnsi" w:hAnsiTheme="minorHAnsi"/>
              </w:rPr>
              <w:t>department.</w:t>
            </w:r>
          </w:p>
          <w:p w14:paraId="18BFBE37" w14:textId="1645534B" w:rsidR="00F073E9" w:rsidRPr="001F21FF" w:rsidRDefault="00F073E9" w:rsidP="0041642B">
            <w:pPr>
              <w:rPr>
                <w:rFonts w:ascii="Calibri" w:hAnsi="Calibri" w:cs="Open Sans"/>
              </w:rPr>
            </w:pPr>
          </w:p>
        </w:tc>
      </w:tr>
      <w:tr w:rsidR="00F073E9" w:rsidRPr="001F21FF" w14:paraId="3252E588"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5190A44A" w14:textId="6685BE33" w:rsidR="00F073E9" w:rsidRPr="001F21FF" w:rsidRDefault="00F073E9" w:rsidP="0041642B">
            <w:pPr>
              <w:rPr>
                <w:rFonts w:ascii="Calibri" w:hAnsi="Calibri" w:cs="Open Sans"/>
              </w:rPr>
            </w:pPr>
            <w:r>
              <w:rPr>
                <w:rFonts w:ascii="Calibri" w:hAnsi="Calibri" w:cs="Open Sans"/>
              </w:rPr>
              <w:t>6.2</w:t>
            </w:r>
          </w:p>
        </w:tc>
        <w:tc>
          <w:tcPr>
            <w:tcW w:w="9052" w:type="dxa"/>
            <w:tcBorders>
              <w:top w:val="nil"/>
              <w:left w:val="nil"/>
              <w:bottom w:val="nil"/>
              <w:right w:val="nil"/>
            </w:tcBorders>
          </w:tcPr>
          <w:p w14:paraId="1FF7B0D6" w14:textId="77777777" w:rsidR="00F073E9" w:rsidRDefault="00F073E9" w:rsidP="0041642B">
            <w:pPr>
              <w:rPr>
                <w:rFonts w:asciiTheme="minorHAnsi" w:hAnsiTheme="minorHAnsi"/>
              </w:rPr>
            </w:pPr>
            <w:r>
              <w:rPr>
                <w:rFonts w:asciiTheme="minorHAnsi" w:hAnsiTheme="minorHAnsi"/>
              </w:rPr>
              <w:t>Departmental Managers</w:t>
            </w:r>
            <w:r w:rsidRPr="00464BAF">
              <w:rPr>
                <w:rFonts w:asciiTheme="minorHAnsi" w:hAnsiTheme="minorHAnsi"/>
              </w:rPr>
              <w:t xml:space="preserve"> may delegate the operational aspect of this function to one or more </w:t>
            </w:r>
            <w:r>
              <w:rPr>
                <w:rFonts w:asciiTheme="minorHAnsi" w:hAnsiTheme="minorHAnsi"/>
              </w:rPr>
              <w:t>staff</w:t>
            </w:r>
            <w:r w:rsidRPr="00464BAF">
              <w:rPr>
                <w:rFonts w:asciiTheme="minorHAnsi" w:hAnsiTheme="minorHAnsi"/>
              </w:rPr>
              <w:t xml:space="preserve"> within their </w:t>
            </w:r>
            <w:r>
              <w:rPr>
                <w:rFonts w:asciiTheme="minorHAnsi" w:hAnsiTheme="minorHAnsi"/>
              </w:rPr>
              <w:t>department.</w:t>
            </w:r>
          </w:p>
          <w:p w14:paraId="34FB9369" w14:textId="52BFB7B6" w:rsidR="00F073E9" w:rsidRPr="001F21FF" w:rsidRDefault="00F073E9" w:rsidP="0041642B">
            <w:pPr>
              <w:rPr>
                <w:rFonts w:ascii="Calibri" w:hAnsi="Calibri" w:cs="Open Sans"/>
              </w:rPr>
            </w:pPr>
          </w:p>
        </w:tc>
      </w:tr>
      <w:tr w:rsidR="00F073E9" w:rsidRPr="001F21FF" w14:paraId="46536A01"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6739043A" w14:textId="0695E8C5" w:rsidR="00F073E9" w:rsidRPr="001F21FF" w:rsidRDefault="00F073E9" w:rsidP="0041642B">
            <w:pPr>
              <w:rPr>
                <w:rFonts w:ascii="Calibri" w:hAnsi="Calibri" w:cs="Open Sans"/>
              </w:rPr>
            </w:pPr>
            <w:r>
              <w:rPr>
                <w:rFonts w:ascii="Calibri" w:hAnsi="Calibri" w:cs="Open Sans"/>
              </w:rPr>
              <w:t>6.3</w:t>
            </w:r>
          </w:p>
        </w:tc>
        <w:tc>
          <w:tcPr>
            <w:tcW w:w="9052" w:type="dxa"/>
            <w:tcBorders>
              <w:top w:val="nil"/>
              <w:left w:val="nil"/>
              <w:bottom w:val="nil"/>
              <w:right w:val="nil"/>
            </w:tcBorders>
          </w:tcPr>
          <w:p w14:paraId="55D31064" w14:textId="3216B73F" w:rsidR="00F073E9" w:rsidRDefault="00F073E9" w:rsidP="0041642B">
            <w:pPr>
              <w:rPr>
                <w:rFonts w:asciiTheme="minorHAnsi" w:hAnsiTheme="minorHAnsi"/>
              </w:rPr>
            </w:pPr>
            <w:r>
              <w:rPr>
                <w:rFonts w:asciiTheme="minorHAnsi" w:hAnsiTheme="minorHAnsi"/>
              </w:rPr>
              <w:t>Departmental Managers</w:t>
            </w:r>
            <w:r w:rsidRPr="00464BAF">
              <w:rPr>
                <w:rFonts w:asciiTheme="minorHAnsi" w:hAnsiTheme="minorHAnsi"/>
              </w:rPr>
              <w:t xml:space="preserve"> should seek advice </w:t>
            </w:r>
            <w:r>
              <w:rPr>
                <w:rFonts w:asciiTheme="minorHAnsi" w:hAnsiTheme="minorHAnsi"/>
              </w:rPr>
              <w:t xml:space="preserve">from the </w:t>
            </w:r>
            <w:r w:rsidR="00557AD5">
              <w:rPr>
                <w:rFonts w:asciiTheme="minorHAnsi" w:hAnsiTheme="minorHAnsi"/>
              </w:rPr>
              <w:t>Head of Operations and Risk</w:t>
            </w:r>
            <w:r>
              <w:rPr>
                <w:rFonts w:asciiTheme="minorHAnsi" w:hAnsiTheme="minorHAnsi"/>
              </w:rPr>
              <w:t xml:space="preserve"> </w:t>
            </w:r>
            <w:r w:rsidRPr="00464BAF">
              <w:rPr>
                <w:rFonts w:asciiTheme="minorHAnsi" w:hAnsiTheme="minorHAnsi"/>
              </w:rPr>
              <w:t>if the</w:t>
            </w:r>
            <w:r>
              <w:rPr>
                <w:rFonts w:asciiTheme="minorHAnsi" w:hAnsiTheme="minorHAnsi"/>
              </w:rPr>
              <w:t>re is any doubt about whether personal data should be deleted or disposed of or retained.</w:t>
            </w:r>
          </w:p>
          <w:p w14:paraId="11640D00" w14:textId="396AEB56" w:rsidR="00F073E9" w:rsidRPr="001F21FF" w:rsidRDefault="00F073E9" w:rsidP="0041642B">
            <w:pPr>
              <w:rPr>
                <w:rFonts w:ascii="Calibri" w:hAnsi="Calibri" w:cs="Open Sans"/>
              </w:rPr>
            </w:pPr>
          </w:p>
        </w:tc>
      </w:tr>
      <w:tr w:rsidR="00F073E9" w:rsidRPr="001F21FF" w14:paraId="1741598F" w14:textId="77777777" w:rsidTr="00F07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30" w:type="dxa"/>
            <w:tcBorders>
              <w:top w:val="nil"/>
              <w:left w:val="nil"/>
              <w:bottom w:val="nil"/>
              <w:right w:val="nil"/>
            </w:tcBorders>
          </w:tcPr>
          <w:p w14:paraId="5A728CFE" w14:textId="04AE4CA4" w:rsidR="00F073E9" w:rsidRPr="001F21FF" w:rsidRDefault="00F073E9" w:rsidP="0041642B">
            <w:pPr>
              <w:rPr>
                <w:rFonts w:ascii="Calibri" w:hAnsi="Calibri" w:cs="Open Sans"/>
              </w:rPr>
            </w:pPr>
            <w:r>
              <w:rPr>
                <w:rFonts w:ascii="Calibri" w:hAnsi="Calibri" w:cs="Open Sans"/>
              </w:rPr>
              <w:t>6.4</w:t>
            </w:r>
          </w:p>
        </w:tc>
        <w:tc>
          <w:tcPr>
            <w:tcW w:w="9052" w:type="dxa"/>
            <w:tcBorders>
              <w:top w:val="nil"/>
              <w:left w:val="nil"/>
              <w:bottom w:val="nil"/>
              <w:right w:val="nil"/>
            </w:tcBorders>
          </w:tcPr>
          <w:p w14:paraId="7797D7DE" w14:textId="100B5062" w:rsidR="00F073E9" w:rsidRPr="001F21FF" w:rsidRDefault="00F073E9" w:rsidP="0041642B">
            <w:pPr>
              <w:rPr>
                <w:rFonts w:ascii="Calibri" w:hAnsi="Calibri" w:cs="Open Sans"/>
              </w:rPr>
            </w:pPr>
            <w:r>
              <w:rPr>
                <w:rFonts w:asciiTheme="minorHAnsi" w:hAnsiTheme="minorHAnsi"/>
              </w:rPr>
              <w:t>Departmental Managers</w:t>
            </w:r>
            <w:r w:rsidRPr="00464BAF">
              <w:rPr>
                <w:rFonts w:asciiTheme="minorHAnsi" w:hAnsiTheme="minorHAnsi"/>
              </w:rPr>
              <w:t xml:space="preserve"> should ensure</w:t>
            </w:r>
            <w:r>
              <w:rPr>
                <w:rFonts w:asciiTheme="minorHAnsi" w:hAnsiTheme="minorHAnsi"/>
              </w:rPr>
              <w:t xml:space="preserve"> that the Schedule in Appendix 1</w:t>
            </w:r>
            <w:r w:rsidRPr="00464BAF">
              <w:rPr>
                <w:rFonts w:asciiTheme="minorHAnsi" w:hAnsiTheme="minorHAnsi"/>
              </w:rPr>
              <w:t xml:space="preserve"> which is relevant to their service is kept up to</w:t>
            </w:r>
            <w:r w:rsidRPr="00464BAF">
              <w:rPr>
                <w:rFonts w:asciiTheme="minorHAnsi" w:hAnsiTheme="minorHAnsi"/>
                <w:spacing w:val="-3"/>
              </w:rPr>
              <w:t xml:space="preserve"> </w:t>
            </w:r>
            <w:r w:rsidRPr="00464BAF">
              <w:rPr>
                <w:rFonts w:asciiTheme="minorHAnsi" w:hAnsiTheme="minorHAnsi"/>
              </w:rPr>
              <w:t>date</w:t>
            </w:r>
          </w:p>
        </w:tc>
      </w:tr>
    </w:tbl>
    <w:p w14:paraId="66EEF9FC" w14:textId="77777777" w:rsidR="00145804" w:rsidRDefault="00145804" w:rsidP="00B915FC">
      <w:pPr>
        <w:tabs>
          <w:tab w:val="left" w:pos="2700"/>
        </w:tabs>
        <w:rPr>
          <w:rFonts w:ascii="Calibri" w:hAnsi="Calibri" w:cs="Open Sans"/>
        </w:rPr>
      </w:pPr>
    </w:p>
    <w:tbl>
      <w:tblPr>
        <w:tblStyle w:val="TableGrid"/>
        <w:tblW w:w="0" w:type="auto"/>
        <w:tblInd w:w="-90" w:type="dxa"/>
        <w:tblLook w:val="04A0" w:firstRow="1" w:lastRow="0" w:firstColumn="1" w:lastColumn="0" w:noHBand="0" w:noVBand="1"/>
      </w:tblPr>
      <w:tblGrid>
        <w:gridCol w:w="630"/>
        <w:gridCol w:w="9052"/>
      </w:tblGrid>
      <w:tr w:rsidR="00F073E9" w:rsidRPr="001F21FF" w14:paraId="207CC48A" w14:textId="77777777" w:rsidTr="0041642B">
        <w:trPr>
          <w:trHeight w:val="432"/>
        </w:trPr>
        <w:tc>
          <w:tcPr>
            <w:tcW w:w="630" w:type="dxa"/>
            <w:tcBorders>
              <w:top w:val="nil"/>
              <w:left w:val="nil"/>
              <w:bottom w:val="nil"/>
              <w:right w:val="nil"/>
            </w:tcBorders>
          </w:tcPr>
          <w:p w14:paraId="7DB55E71" w14:textId="0DCED0A2" w:rsidR="00F073E9" w:rsidRPr="001F21FF" w:rsidRDefault="00F073E9" w:rsidP="0041642B">
            <w:pPr>
              <w:rPr>
                <w:rFonts w:ascii="Calibri,Open Sans" w:eastAsia="Calibri,Open Sans" w:hAnsi="Calibri,Open Sans" w:cs="Calibri,Open Sans"/>
                <w:b/>
                <w:bCs/>
              </w:rPr>
            </w:pPr>
            <w:r>
              <w:rPr>
                <w:rFonts w:ascii="Calibri" w:eastAsia="Calibri" w:hAnsi="Calibri" w:cs="Calibri"/>
                <w:b/>
                <w:bCs/>
              </w:rPr>
              <w:t>7</w:t>
            </w:r>
            <w:r w:rsidRPr="19BB8B97">
              <w:rPr>
                <w:rFonts w:ascii="Calibri" w:eastAsia="Calibri" w:hAnsi="Calibri" w:cs="Calibri"/>
                <w:b/>
                <w:bCs/>
              </w:rPr>
              <w:t>.0</w:t>
            </w:r>
          </w:p>
        </w:tc>
        <w:tc>
          <w:tcPr>
            <w:tcW w:w="9052" w:type="dxa"/>
            <w:tcBorders>
              <w:top w:val="nil"/>
              <w:left w:val="nil"/>
              <w:bottom w:val="nil"/>
              <w:right w:val="nil"/>
            </w:tcBorders>
          </w:tcPr>
          <w:p w14:paraId="31F50991" w14:textId="05058FB2" w:rsidR="00F073E9" w:rsidRPr="001F21FF" w:rsidRDefault="00F073E9" w:rsidP="0041642B">
            <w:pPr>
              <w:rPr>
                <w:rFonts w:ascii="Calibri" w:hAnsi="Calibri" w:cs="Open Sans"/>
                <w:b/>
              </w:rPr>
            </w:pPr>
            <w:r>
              <w:rPr>
                <w:rFonts w:asciiTheme="minorHAnsi" w:hAnsiTheme="minorHAnsi"/>
                <w:b/>
              </w:rPr>
              <w:t>Deletion/</w:t>
            </w:r>
            <w:r w:rsidRPr="00464BAF">
              <w:rPr>
                <w:rFonts w:asciiTheme="minorHAnsi" w:hAnsiTheme="minorHAnsi"/>
                <w:b/>
              </w:rPr>
              <w:t>Disposal</w:t>
            </w:r>
          </w:p>
        </w:tc>
      </w:tr>
      <w:tr w:rsidR="00F073E9" w:rsidRPr="001F21FF" w14:paraId="5EE0E27A" w14:textId="77777777" w:rsidTr="0041642B">
        <w:trPr>
          <w:trHeight w:val="432"/>
        </w:trPr>
        <w:tc>
          <w:tcPr>
            <w:tcW w:w="630" w:type="dxa"/>
            <w:tcBorders>
              <w:top w:val="nil"/>
              <w:left w:val="nil"/>
              <w:bottom w:val="nil"/>
              <w:right w:val="nil"/>
            </w:tcBorders>
          </w:tcPr>
          <w:p w14:paraId="6D8C92D5" w14:textId="0FE642DA" w:rsidR="00F073E9" w:rsidRPr="001F21FF" w:rsidRDefault="00F073E9" w:rsidP="0041642B">
            <w:pPr>
              <w:rPr>
                <w:rFonts w:ascii="Calibri,Open Sans" w:eastAsia="Calibri,Open Sans" w:hAnsi="Calibri,Open Sans" w:cs="Calibri,Open Sans"/>
              </w:rPr>
            </w:pPr>
            <w:r>
              <w:rPr>
                <w:rFonts w:ascii="Calibri" w:eastAsia="Calibri" w:hAnsi="Calibri" w:cs="Calibri"/>
              </w:rPr>
              <w:t>7</w:t>
            </w:r>
            <w:r w:rsidRPr="19BB8B97">
              <w:rPr>
                <w:rFonts w:ascii="Calibri" w:eastAsia="Calibri" w:hAnsi="Calibri" w:cs="Calibri"/>
              </w:rPr>
              <w:t>.1</w:t>
            </w:r>
          </w:p>
        </w:tc>
        <w:tc>
          <w:tcPr>
            <w:tcW w:w="9052" w:type="dxa"/>
            <w:tcBorders>
              <w:top w:val="nil"/>
              <w:left w:val="nil"/>
              <w:bottom w:val="nil"/>
              <w:right w:val="nil"/>
            </w:tcBorders>
          </w:tcPr>
          <w:p w14:paraId="0EB19ACE" w14:textId="2C80C820" w:rsidR="00F073E9" w:rsidRDefault="00F073E9" w:rsidP="0041642B">
            <w:pPr>
              <w:rPr>
                <w:rFonts w:asciiTheme="minorHAnsi" w:hAnsiTheme="minorHAnsi"/>
              </w:rPr>
            </w:pPr>
            <w:r>
              <w:rPr>
                <w:rFonts w:asciiTheme="minorHAnsi" w:hAnsiTheme="minorHAnsi"/>
              </w:rPr>
              <w:t>If a record containing personal data is to be deleted, all copies of it must be removed</w:t>
            </w:r>
            <w:r w:rsidRPr="00464BAF">
              <w:rPr>
                <w:rFonts w:asciiTheme="minorHAnsi" w:hAnsiTheme="minorHAnsi"/>
              </w:rPr>
              <w:t>.</w:t>
            </w:r>
            <w:r>
              <w:rPr>
                <w:rFonts w:asciiTheme="minorHAnsi" w:hAnsiTheme="minorHAnsi"/>
              </w:rPr>
              <w:t xml:space="preserve"> In particular if a record is deleted from the CRM system</w:t>
            </w:r>
            <w:r w:rsidR="00557AD5">
              <w:rPr>
                <w:rFonts w:asciiTheme="minorHAnsi" w:hAnsiTheme="minorHAnsi"/>
              </w:rPr>
              <w:t>s</w:t>
            </w:r>
            <w:r>
              <w:rPr>
                <w:rFonts w:asciiTheme="minorHAnsi" w:hAnsiTheme="minorHAnsi"/>
              </w:rPr>
              <w:t>, a check must be made to ensure that record is also deleted from any relevant spreadsheets, email campaign systems or other systems.</w:t>
            </w:r>
          </w:p>
          <w:p w14:paraId="44E9F821" w14:textId="61D3A018" w:rsidR="00F073E9" w:rsidRPr="001F21FF" w:rsidRDefault="00F073E9" w:rsidP="0041642B">
            <w:pPr>
              <w:rPr>
                <w:rFonts w:ascii="Calibri" w:hAnsi="Calibri" w:cs="Open Sans"/>
              </w:rPr>
            </w:pPr>
          </w:p>
        </w:tc>
      </w:tr>
      <w:tr w:rsidR="00F073E9" w:rsidRPr="001F21FF" w14:paraId="5EEDAB2A" w14:textId="77777777" w:rsidTr="0041642B">
        <w:trPr>
          <w:trHeight w:val="432"/>
        </w:trPr>
        <w:tc>
          <w:tcPr>
            <w:tcW w:w="630" w:type="dxa"/>
            <w:tcBorders>
              <w:top w:val="nil"/>
              <w:left w:val="nil"/>
              <w:bottom w:val="nil"/>
              <w:right w:val="nil"/>
            </w:tcBorders>
          </w:tcPr>
          <w:p w14:paraId="745D5003" w14:textId="236AFF94" w:rsidR="00F073E9" w:rsidRPr="001F21FF" w:rsidRDefault="00F073E9" w:rsidP="0041642B">
            <w:pPr>
              <w:rPr>
                <w:rFonts w:ascii="Calibri" w:hAnsi="Calibri" w:cs="Open Sans"/>
              </w:rPr>
            </w:pPr>
            <w:r>
              <w:rPr>
                <w:rFonts w:ascii="Calibri" w:hAnsi="Calibri" w:cs="Open Sans"/>
              </w:rPr>
              <w:t>7.2</w:t>
            </w:r>
          </w:p>
        </w:tc>
        <w:tc>
          <w:tcPr>
            <w:tcW w:w="9052" w:type="dxa"/>
            <w:tcBorders>
              <w:top w:val="nil"/>
              <w:left w:val="nil"/>
              <w:bottom w:val="nil"/>
              <w:right w:val="nil"/>
            </w:tcBorders>
          </w:tcPr>
          <w:p w14:paraId="678A26D7" w14:textId="77777777" w:rsidR="00F073E9" w:rsidRDefault="00F073E9" w:rsidP="0041642B">
            <w:pPr>
              <w:rPr>
                <w:rFonts w:asciiTheme="minorHAnsi" w:hAnsiTheme="minorHAnsi"/>
              </w:rPr>
            </w:pPr>
            <w:r>
              <w:rPr>
                <w:rFonts w:asciiTheme="minorHAnsi" w:hAnsiTheme="minorHAnsi"/>
              </w:rPr>
              <w:t>When an electronic record is deleted containing personal data, a record must be kept of the relevant email address. This email address is retained solely so that a check can be run to ensure the related data has been deleted should an enquiry be made by the individual whose data it is. It should not be used for any other purpose.</w:t>
            </w:r>
          </w:p>
          <w:p w14:paraId="3AD3804C" w14:textId="6BC1092E" w:rsidR="00F073E9" w:rsidRPr="001F21FF" w:rsidRDefault="00F073E9" w:rsidP="0041642B">
            <w:pPr>
              <w:rPr>
                <w:rFonts w:ascii="Calibri" w:hAnsi="Calibri" w:cs="Open Sans"/>
              </w:rPr>
            </w:pPr>
          </w:p>
        </w:tc>
      </w:tr>
      <w:tr w:rsidR="00F073E9" w:rsidRPr="001F21FF" w14:paraId="0C0524DD" w14:textId="77777777" w:rsidTr="0041642B">
        <w:trPr>
          <w:trHeight w:val="432"/>
        </w:trPr>
        <w:tc>
          <w:tcPr>
            <w:tcW w:w="630" w:type="dxa"/>
            <w:tcBorders>
              <w:top w:val="nil"/>
              <w:left w:val="nil"/>
              <w:bottom w:val="nil"/>
              <w:right w:val="nil"/>
            </w:tcBorders>
          </w:tcPr>
          <w:p w14:paraId="77D67437" w14:textId="36E51CB9" w:rsidR="00F073E9" w:rsidRPr="001F21FF" w:rsidRDefault="00F073E9" w:rsidP="0041642B">
            <w:pPr>
              <w:rPr>
                <w:rFonts w:ascii="Calibri" w:hAnsi="Calibri" w:cs="Open Sans"/>
              </w:rPr>
            </w:pPr>
            <w:r>
              <w:rPr>
                <w:rFonts w:ascii="Calibri" w:hAnsi="Calibri" w:cs="Open Sans"/>
              </w:rPr>
              <w:t>7.3</w:t>
            </w:r>
          </w:p>
        </w:tc>
        <w:tc>
          <w:tcPr>
            <w:tcW w:w="9052" w:type="dxa"/>
            <w:tcBorders>
              <w:top w:val="nil"/>
              <w:left w:val="nil"/>
              <w:bottom w:val="nil"/>
              <w:right w:val="nil"/>
            </w:tcBorders>
          </w:tcPr>
          <w:p w14:paraId="79354781" w14:textId="15653F19" w:rsidR="00F073E9" w:rsidRPr="00F073E9" w:rsidRDefault="00F073E9" w:rsidP="0041642B">
            <w:pPr>
              <w:rPr>
                <w:rFonts w:asciiTheme="minorHAnsi" w:hAnsiTheme="minorHAnsi"/>
              </w:rPr>
            </w:pPr>
            <w:r>
              <w:rPr>
                <w:rFonts w:asciiTheme="minorHAnsi" w:hAnsiTheme="minorHAnsi"/>
              </w:rPr>
              <w:t>When a physical document containing personal data is disposed of, it must be shredded.</w:t>
            </w:r>
          </w:p>
        </w:tc>
      </w:tr>
      <w:tr w:rsidR="00F073E9" w:rsidRPr="001F21FF" w14:paraId="7AFDBB0F" w14:textId="77777777" w:rsidTr="0041642B">
        <w:trPr>
          <w:trHeight w:val="432"/>
        </w:trPr>
        <w:tc>
          <w:tcPr>
            <w:tcW w:w="630" w:type="dxa"/>
            <w:tcBorders>
              <w:top w:val="nil"/>
              <w:left w:val="nil"/>
              <w:bottom w:val="nil"/>
              <w:right w:val="nil"/>
            </w:tcBorders>
          </w:tcPr>
          <w:p w14:paraId="3931FFB5" w14:textId="1B4DDA0E" w:rsidR="00F073E9" w:rsidRDefault="00F073E9" w:rsidP="0041642B">
            <w:pPr>
              <w:rPr>
                <w:rFonts w:ascii="Calibri" w:hAnsi="Calibri" w:cs="Open Sans"/>
              </w:rPr>
            </w:pPr>
            <w:r>
              <w:rPr>
                <w:rFonts w:ascii="Calibri" w:hAnsi="Calibri" w:cs="Open Sans"/>
              </w:rPr>
              <w:t>7.4</w:t>
            </w:r>
          </w:p>
        </w:tc>
        <w:tc>
          <w:tcPr>
            <w:tcW w:w="9052" w:type="dxa"/>
            <w:tcBorders>
              <w:top w:val="nil"/>
              <w:left w:val="nil"/>
              <w:bottom w:val="nil"/>
              <w:right w:val="nil"/>
            </w:tcBorders>
          </w:tcPr>
          <w:p w14:paraId="4E2BA249" w14:textId="36B0B460" w:rsidR="00F073E9" w:rsidRDefault="00F073E9" w:rsidP="0041642B">
            <w:pPr>
              <w:rPr>
                <w:rFonts w:asciiTheme="minorHAnsi" w:hAnsiTheme="minorHAnsi"/>
              </w:rPr>
            </w:pPr>
            <w:r w:rsidRPr="00464BAF">
              <w:rPr>
                <w:rFonts w:asciiTheme="minorHAnsi" w:hAnsiTheme="minorHAnsi"/>
              </w:rPr>
              <w:t xml:space="preserve">Records of disposal </w:t>
            </w:r>
            <w:r>
              <w:rPr>
                <w:rFonts w:asciiTheme="minorHAnsi" w:hAnsiTheme="minorHAnsi"/>
              </w:rPr>
              <w:t xml:space="preserve">of physical documents </w:t>
            </w:r>
            <w:r w:rsidRPr="00464BAF">
              <w:rPr>
                <w:rFonts w:asciiTheme="minorHAnsi" w:hAnsiTheme="minorHAnsi"/>
              </w:rPr>
              <w:t>should be</w:t>
            </w:r>
            <w:r>
              <w:rPr>
                <w:rFonts w:asciiTheme="minorHAnsi" w:hAnsiTheme="minorHAnsi"/>
              </w:rPr>
              <w:t xml:space="preserve"> maintained by each department</w:t>
            </w:r>
            <w:r w:rsidRPr="00464BAF">
              <w:rPr>
                <w:rFonts w:asciiTheme="minorHAnsi" w:hAnsiTheme="minorHAnsi"/>
              </w:rPr>
              <w:t>, and should detail the document dispo</w:t>
            </w:r>
            <w:r>
              <w:rPr>
                <w:rFonts w:asciiTheme="minorHAnsi" w:hAnsiTheme="minorHAnsi"/>
              </w:rPr>
              <w:t>sed of, the date and the member of staff</w:t>
            </w:r>
            <w:r w:rsidRPr="00464BAF">
              <w:rPr>
                <w:rFonts w:asciiTheme="minorHAnsi" w:hAnsiTheme="minorHAnsi"/>
              </w:rPr>
              <w:t xml:space="preserve"> who authorised the document’s</w:t>
            </w:r>
            <w:r>
              <w:rPr>
                <w:rFonts w:asciiTheme="minorHAnsi" w:hAnsiTheme="minorHAnsi"/>
              </w:rPr>
              <w:t xml:space="preserve"> disposal</w:t>
            </w:r>
          </w:p>
        </w:tc>
      </w:tr>
    </w:tbl>
    <w:p w14:paraId="3E487B77" w14:textId="77777777" w:rsidR="00F073E9" w:rsidRPr="001F21FF" w:rsidRDefault="00F073E9" w:rsidP="00B915FC">
      <w:pPr>
        <w:tabs>
          <w:tab w:val="left" w:pos="2700"/>
        </w:tabs>
        <w:rPr>
          <w:rFonts w:ascii="Calibri" w:hAnsi="Calibri" w:cs="Open Sans"/>
        </w:rPr>
      </w:pPr>
    </w:p>
    <w:sectPr w:rsidR="00F073E9" w:rsidRPr="001F21FF" w:rsidSect="00420B67">
      <w:headerReference w:type="default" r:id="rId10"/>
      <w:footerReference w:type="default" r:id="rId11"/>
      <w:pgSz w:w="11906" w:h="16838"/>
      <w:pgMar w:top="864"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C241" w14:textId="77777777" w:rsidR="00CC3581" w:rsidRDefault="00CC3581" w:rsidP="00F02A59">
      <w:pPr>
        <w:spacing w:line="240" w:lineRule="auto"/>
      </w:pPr>
      <w:r>
        <w:separator/>
      </w:r>
    </w:p>
  </w:endnote>
  <w:endnote w:type="continuationSeparator" w:id="0">
    <w:p w14:paraId="08AA76A8" w14:textId="77777777" w:rsidR="00CC3581" w:rsidRDefault="00CC3581" w:rsidP="00F02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6030504020204"/>
    <w:charset w:val="00"/>
    <w:family w:val="swiss"/>
    <w:pitch w:val="variable"/>
    <w:sig w:usb0="E00002EF" w:usb1="4000205B" w:usb2="00000028" w:usb3="00000000" w:csb0="0000019F" w:csb1="00000000"/>
  </w:font>
  <w:font w:name="Calibri,Open Sans">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FD24" w14:textId="740F2175" w:rsidR="00A92142" w:rsidRPr="00377E99" w:rsidRDefault="00420B67" w:rsidP="19BB8B97">
    <w:pPr>
      <w:pStyle w:val="Footer"/>
      <w:tabs>
        <w:tab w:val="clear" w:pos="4513"/>
        <w:tab w:val="clear" w:pos="9026"/>
        <w:tab w:val="left" w:pos="3189"/>
      </w:tabs>
      <w:rPr>
        <w:rFonts w:asciiTheme="minorHAnsi" w:eastAsiaTheme="minorEastAsia" w:hAnsiTheme="minorHAnsi" w:cstheme="minorBidi"/>
        <w:color w:val="808080" w:themeColor="text1" w:themeTint="7F"/>
        <w:sz w:val="16"/>
        <w:szCs w:val="16"/>
      </w:rPr>
    </w:pPr>
    <w:r w:rsidRPr="19BB8B97">
      <w:rPr>
        <w:rFonts w:asciiTheme="minorHAnsi" w:eastAsiaTheme="minorEastAsia" w:hAnsiTheme="minorHAnsi" w:cstheme="minorBidi"/>
        <w:color w:val="808080" w:themeColor="background1" w:themeShade="80"/>
        <w:sz w:val="16"/>
        <w:szCs w:val="16"/>
      </w:rPr>
      <w:t>Ver</w:t>
    </w:r>
    <w:r w:rsidR="00D50926" w:rsidRPr="19BB8B97">
      <w:rPr>
        <w:rFonts w:asciiTheme="minorHAnsi" w:eastAsiaTheme="minorEastAsia" w:hAnsiTheme="minorHAnsi" w:cstheme="minorBidi"/>
        <w:color w:val="808080" w:themeColor="background1" w:themeShade="80"/>
        <w:sz w:val="16"/>
        <w:szCs w:val="16"/>
      </w:rPr>
      <w:t>:</w:t>
    </w:r>
    <w:r w:rsidR="00F073E9">
      <w:t xml:space="preserve"> </w:t>
    </w:r>
    <w:r w:rsidR="00555512">
      <w:rPr>
        <w:rFonts w:asciiTheme="minorHAnsi" w:hAnsiTheme="minorHAnsi"/>
        <w:sz w:val="18"/>
        <w:szCs w:val="18"/>
      </w:rPr>
      <w:fldChar w:fldCharType="begin"/>
    </w:r>
    <w:r w:rsidR="00555512">
      <w:rPr>
        <w:rFonts w:asciiTheme="minorHAnsi" w:hAnsiTheme="minorHAnsi"/>
        <w:sz w:val="18"/>
        <w:szCs w:val="18"/>
      </w:rPr>
      <w:instrText xml:space="preserve"> CREATEDATE  \* MERGEFORMAT </w:instrText>
    </w:r>
    <w:r w:rsidR="00555512">
      <w:rPr>
        <w:rFonts w:asciiTheme="minorHAnsi" w:hAnsiTheme="minorHAnsi"/>
        <w:sz w:val="18"/>
        <w:szCs w:val="18"/>
      </w:rPr>
      <w:fldChar w:fldCharType="separate"/>
    </w:r>
    <w:r w:rsidR="00555512">
      <w:rPr>
        <w:rFonts w:asciiTheme="minorHAnsi" w:hAnsiTheme="minorHAnsi"/>
        <w:noProof/>
        <w:sz w:val="18"/>
        <w:szCs w:val="18"/>
      </w:rPr>
      <w:t>19/08/2020 10:13:00</w:t>
    </w:r>
    <w:r w:rsidR="00555512">
      <w:rPr>
        <w:rFonts w:asciiTheme="minorHAnsi" w:hAnsiTheme="minorHAnsi"/>
        <w:sz w:val="18"/>
        <w:szCs w:val="18"/>
      </w:rPr>
      <w:fldChar w:fldCharType="end"/>
    </w:r>
    <w:r w:rsidR="00D50926" w:rsidRPr="00377E99">
      <w:rPr>
        <w:rFonts w:asciiTheme="minorHAnsi" w:hAnsiTheme="minorHAnsi"/>
        <w:color w:val="808080" w:themeColor="background1" w:themeShade="80"/>
        <w:sz w:val="16"/>
        <w:szCs w:val="16"/>
      </w:rPr>
      <w:tab/>
    </w:r>
    <w:r w:rsidR="00BD5D01" w:rsidRPr="19BB8B97">
      <w:rPr>
        <w:rFonts w:asciiTheme="minorHAnsi" w:eastAsiaTheme="minorEastAsia" w:hAnsiTheme="minorHAnsi" w:cstheme="minorBidi"/>
        <w:color w:val="808080" w:themeColor="background1" w:themeShade="80"/>
        <w:sz w:val="16"/>
        <w:szCs w:val="16"/>
      </w:rPr>
      <w:t xml:space="preserve">                  </w:t>
    </w:r>
    <w:r w:rsidR="004736AD" w:rsidRPr="19BB8B97">
      <w:rPr>
        <w:rFonts w:asciiTheme="minorHAnsi" w:eastAsiaTheme="minorEastAsia" w:hAnsiTheme="minorHAnsi" w:cstheme="minorBidi"/>
        <w:color w:val="808080" w:themeColor="background1" w:themeShade="80"/>
        <w:sz w:val="16"/>
        <w:szCs w:val="16"/>
      </w:rPr>
      <w:t xml:space="preserve">      </w:t>
    </w:r>
    <w:r w:rsidR="00D50926" w:rsidRPr="19BB8B97">
      <w:rPr>
        <w:rFonts w:asciiTheme="minorHAnsi" w:eastAsiaTheme="minorEastAsia" w:hAnsiTheme="minorHAnsi" w:cstheme="minorBidi"/>
        <w:color w:val="808080" w:themeColor="background1" w:themeShade="80"/>
        <w:sz w:val="16"/>
        <w:szCs w:val="16"/>
      </w:rPr>
      <w:t>Review date</w:t>
    </w:r>
    <w:r w:rsidR="004F3FC3" w:rsidRPr="19BB8B97">
      <w:rPr>
        <w:rFonts w:asciiTheme="minorHAnsi" w:eastAsiaTheme="minorEastAsia" w:hAnsiTheme="minorHAnsi" w:cstheme="minorBidi"/>
        <w:color w:val="808080" w:themeColor="background1" w:themeShade="80"/>
        <w:sz w:val="16"/>
        <w:szCs w:val="16"/>
      </w:rPr>
      <w:t>:</w:t>
    </w:r>
    <w:r w:rsidR="00EF6D6C" w:rsidRPr="19BB8B97">
      <w:rPr>
        <w:rFonts w:asciiTheme="minorHAnsi" w:eastAsiaTheme="minorEastAsia" w:hAnsiTheme="minorHAnsi" w:cstheme="minorBidi"/>
        <w:color w:val="808080" w:themeColor="background1" w:themeShade="80"/>
        <w:sz w:val="16"/>
        <w:szCs w:val="16"/>
      </w:rPr>
      <w:t xml:space="preserve"> </w:t>
    </w:r>
    <w:r w:rsidR="00263F29">
      <w:rPr>
        <w:rFonts w:asciiTheme="minorHAnsi" w:eastAsiaTheme="minorEastAsia" w:hAnsiTheme="minorHAnsi" w:cstheme="minorBidi"/>
        <w:color w:val="808080" w:themeColor="background1" w:themeShade="80"/>
        <w:sz w:val="16"/>
        <w:szCs w:val="16"/>
      </w:rPr>
      <w:t>31/08/21</w:t>
    </w:r>
    <w:r w:rsidR="00D50926" w:rsidRPr="19BB8B97">
      <w:rPr>
        <w:rFonts w:asciiTheme="minorHAnsi" w:eastAsiaTheme="minorEastAsia" w:hAnsiTheme="minorHAnsi" w:cstheme="minorBidi"/>
        <w:color w:val="808080" w:themeColor="background1" w:themeShade="80"/>
        <w:sz w:val="16"/>
        <w:szCs w:val="16"/>
      </w:rPr>
      <w:t xml:space="preserve">                                                               </w:t>
    </w:r>
    <w:r w:rsidR="00BD5D01" w:rsidRPr="19BB8B97">
      <w:rPr>
        <w:rFonts w:asciiTheme="minorHAnsi" w:eastAsiaTheme="minorEastAsia" w:hAnsiTheme="minorHAnsi" w:cstheme="minorBidi"/>
        <w:color w:val="808080" w:themeColor="background1" w:themeShade="80"/>
        <w:sz w:val="16"/>
        <w:szCs w:val="16"/>
      </w:rPr>
      <w:t xml:space="preserve">   </w:t>
    </w:r>
    <w:r w:rsidR="004736AD" w:rsidRPr="19BB8B97">
      <w:rPr>
        <w:rFonts w:asciiTheme="minorHAnsi" w:eastAsiaTheme="minorEastAsia" w:hAnsiTheme="minorHAnsi" w:cstheme="minorBidi"/>
        <w:color w:val="808080" w:themeColor="background1" w:themeShade="80"/>
        <w:sz w:val="16"/>
        <w:szCs w:val="16"/>
      </w:rPr>
      <w:t xml:space="preserve">    </w:t>
    </w:r>
    <w:r w:rsidR="00D50926" w:rsidRPr="19BB8B97">
      <w:rPr>
        <w:rFonts w:asciiTheme="minorHAnsi" w:eastAsiaTheme="minorEastAsia" w:hAnsiTheme="minorHAnsi" w:cstheme="minorBidi"/>
        <w:color w:val="808080" w:themeColor="background1" w:themeShade="80"/>
        <w:sz w:val="16"/>
        <w:szCs w:val="16"/>
      </w:rPr>
      <w:t xml:space="preserve">Page </w:t>
    </w:r>
    <w:r w:rsidR="00D50926" w:rsidRPr="19BB8B97">
      <w:rPr>
        <w:rFonts w:asciiTheme="minorHAnsi" w:eastAsiaTheme="minorEastAsia" w:hAnsiTheme="minorHAnsi" w:cstheme="minorBidi"/>
        <w:noProof/>
        <w:color w:val="808080" w:themeColor="background1" w:themeShade="80"/>
        <w:sz w:val="16"/>
        <w:szCs w:val="16"/>
      </w:rPr>
      <w:fldChar w:fldCharType="begin"/>
    </w:r>
    <w:r w:rsidR="00D50926" w:rsidRPr="00377E99">
      <w:rPr>
        <w:rFonts w:asciiTheme="minorHAnsi" w:hAnsiTheme="minorHAnsi"/>
        <w:color w:val="808080" w:themeColor="background1" w:themeShade="80"/>
        <w:sz w:val="16"/>
        <w:szCs w:val="16"/>
      </w:rPr>
      <w:instrText xml:space="preserve"> PAGE   \* MERGEFORMAT </w:instrText>
    </w:r>
    <w:r w:rsidR="00D50926" w:rsidRPr="19BB8B97">
      <w:rPr>
        <w:rFonts w:asciiTheme="minorHAnsi" w:hAnsiTheme="minorHAnsi"/>
        <w:color w:val="808080" w:themeColor="background1" w:themeShade="80"/>
        <w:sz w:val="16"/>
        <w:szCs w:val="16"/>
      </w:rPr>
      <w:fldChar w:fldCharType="separate"/>
    </w:r>
    <w:r w:rsidR="00614CAE" w:rsidRPr="00614CAE">
      <w:rPr>
        <w:rFonts w:asciiTheme="minorHAnsi" w:eastAsiaTheme="minorEastAsia" w:hAnsiTheme="minorHAnsi" w:cstheme="minorBidi"/>
        <w:noProof/>
        <w:color w:val="808080" w:themeColor="background1" w:themeShade="80"/>
        <w:sz w:val="16"/>
        <w:szCs w:val="16"/>
      </w:rPr>
      <w:t>1</w:t>
    </w:r>
    <w:r w:rsidR="00D50926" w:rsidRPr="19BB8B97">
      <w:rPr>
        <w:rFonts w:asciiTheme="minorHAnsi" w:eastAsiaTheme="minorEastAsia" w:hAnsiTheme="minorHAnsi" w:cstheme="minorBidi"/>
        <w:noProof/>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5A0D" w14:textId="77777777" w:rsidR="00CC3581" w:rsidRDefault="00CC3581" w:rsidP="00F02A59">
      <w:pPr>
        <w:spacing w:line="240" w:lineRule="auto"/>
      </w:pPr>
      <w:r>
        <w:separator/>
      </w:r>
    </w:p>
  </w:footnote>
  <w:footnote w:type="continuationSeparator" w:id="0">
    <w:p w14:paraId="2F6FE48B" w14:textId="77777777" w:rsidR="00CC3581" w:rsidRDefault="00CC3581" w:rsidP="00F02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FFFB" w14:textId="77777777" w:rsidR="00F02A59" w:rsidRPr="00F02A59" w:rsidRDefault="00F02A59" w:rsidP="00971BBD">
    <w:pPr>
      <w:pStyle w:val="Header"/>
      <w:tabs>
        <w:tab w:val="clear" w:pos="4513"/>
        <w:tab w:val="clear" w:pos="9026"/>
        <w:tab w:val="left" w:pos="5663"/>
      </w:tabs>
      <w:jc w:val="right"/>
      <w:rPr>
        <w:sz w:val="36"/>
        <w:szCs w:val="36"/>
      </w:rPr>
    </w:pPr>
    <w:r>
      <w:rPr>
        <w:sz w:val="36"/>
        <w:szCs w:val="36"/>
      </w:rPr>
      <w:tab/>
    </w:r>
    <w:r w:rsidR="00326159" w:rsidRPr="00326159">
      <w:rPr>
        <w:noProof/>
        <w:sz w:val="36"/>
        <w:szCs w:val="36"/>
        <w:lang w:eastAsia="en-GB"/>
      </w:rPr>
      <w:drawing>
        <wp:inline distT="0" distB="0" distL="0" distR="0" wp14:anchorId="2F494615" wp14:editId="33D4A7F1">
          <wp:extent cx="2229621" cy="687548"/>
          <wp:effectExtent l="0" t="0" r="0" b="0"/>
          <wp:docPr id="2" name="Picture 2" descr="D:\OneDrive - Hope for Justice\6. Comms\Media\Logos\HFJ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 - Hope for Justice\6. Comms\Media\Logos\HFJlogo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139" cy="690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30560"/>
    <w:multiLevelType w:val="multilevel"/>
    <w:tmpl w:val="3E34DE5A"/>
    <w:lvl w:ilvl="0">
      <w:start w:val="1"/>
      <w:numFmt w:val="decimal"/>
      <w:lvlText w:val="%1."/>
      <w:lvlJc w:val="left"/>
      <w:pPr>
        <w:ind w:left="839" w:hanging="720"/>
      </w:pPr>
      <w:rPr>
        <w:rFonts w:asciiTheme="minorHAnsi" w:eastAsia="Arial" w:hAnsiTheme="minorHAnsi" w:cs="Arial" w:hint="default"/>
        <w:b/>
        <w:bCs/>
        <w:w w:val="99"/>
        <w:sz w:val="22"/>
        <w:szCs w:val="22"/>
      </w:rPr>
    </w:lvl>
    <w:lvl w:ilvl="1">
      <w:start w:val="1"/>
      <w:numFmt w:val="decimal"/>
      <w:lvlText w:val="%1.%2"/>
      <w:lvlJc w:val="left"/>
      <w:pPr>
        <w:ind w:left="1199" w:hanging="721"/>
      </w:pPr>
      <w:rPr>
        <w:rFonts w:asciiTheme="minorHAnsi" w:eastAsia="Arial" w:hAnsiTheme="minorHAnsi" w:cs="Arial" w:hint="default"/>
        <w:w w:val="99"/>
        <w:sz w:val="22"/>
        <w:szCs w:val="22"/>
      </w:rPr>
    </w:lvl>
    <w:lvl w:ilvl="2">
      <w:numFmt w:val="bullet"/>
      <w:lvlText w:val=""/>
      <w:lvlJc w:val="left"/>
      <w:pPr>
        <w:ind w:left="1199" w:hanging="361"/>
      </w:pPr>
      <w:rPr>
        <w:rFonts w:ascii="Symbol" w:eastAsia="Symbol" w:hAnsi="Symbol" w:cs="Symbol" w:hint="default"/>
        <w:w w:val="99"/>
        <w:sz w:val="22"/>
        <w:szCs w:val="22"/>
      </w:rPr>
    </w:lvl>
    <w:lvl w:ilvl="3">
      <w:numFmt w:val="bullet"/>
      <w:lvlText w:val="•"/>
      <w:lvlJc w:val="left"/>
      <w:pPr>
        <w:ind w:left="2832" w:hanging="361"/>
      </w:pPr>
      <w:rPr>
        <w:rFonts w:hint="default"/>
      </w:rPr>
    </w:lvl>
    <w:lvl w:ilvl="4">
      <w:numFmt w:val="bullet"/>
      <w:lvlText w:val="•"/>
      <w:lvlJc w:val="left"/>
      <w:pPr>
        <w:ind w:left="3648" w:hanging="361"/>
      </w:pPr>
      <w:rPr>
        <w:rFonts w:hint="default"/>
      </w:rPr>
    </w:lvl>
    <w:lvl w:ilvl="5">
      <w:numFmt w:val="bullet"/>
      <w:lvlText w:val="•"/>
      <w:lvlJc w:val="left"/>
      <w:pPr>
        <w:ind w:left="4464" w:hanging="361"/>
      </w:pPr>
      <w:rPr>
        <w:rFonts w:hint="default"/>
      </w:rPr>
    </w:lvl>
    <w:lvl w:ilvl="6">
      <w:numFmt w:val="bullet"/>
      <w:lvlText w:val="•"/>
      <w:lvlJc w:val="left"/>
      <w:pPr>
        <w:ind w:left="5280" w:hanging="361"/>
      </w:pPr>
      <w:rPr>
        <w:rFonts w:hint="default"/>
      </w:rPr>
    </w:lvl>
    <w:lvl w:ilvl="7">
      <w:numFmt w:val="bullet"/>
      <w:lvlText w:val="•"/>
      <w:lvlJc w:val="left"/>
      <w:pPr>
        <w:ind w:left="6096" w:hanging="361"/>
      </w:pPr>
      <w:rPr>
        <w:rFonts w:hint="default"/>
      </w:rPr>
    </w:lvl>
    <w:lvl w:ilvl="8">
      <w:numFmt w:val="bullet"/>
      <w:lvlText w:val="•"/>
      <w:lvlJc w:val="left"/>
      <w:pPr>
        <w:ind w:left="691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2F"/>
    <w:rsid w:val="00060011"/>
    <w:rsid w:val="000740FF"/>
    <w:rsid w:val="000809DF"/>
    <w:rsid w:val="000E4658"/>
    <w:rsid w:val="0012211F"/>
    <w:rsid w:val="00134F9C"/>
    <w:rsid w:val="00145804"/>
    <w:rsid w:val="00151EDE"/>
    <w:rsid w:val="00161799"/>
    <w:rsid w:val="001622D5"/>
    <w:rsid w:val="00185D8B"/>
    <w:rsid w:val="001B721F"/>
    <w:rsid w:val="001E2DBB"/>
    <w:rsid w:val="001F21FF"/>
    <w:rsid w:val="00241F9F"/>
    <w:rsid w:val="00263F29"/>
    <w:rsid w:val="00276C2C"/>
    <w:rsid w:val="002D0E2D"/>
    <w:rsid w:val="002D4471"/>
    <w:rsid w:val="00300A34"/>
    <w:rsid w:val="00326159"/>
    <w:rsid w:val="00344494"/>
    <w:rsid w:val="00344C60"/>
    <w:rsid w:val="00377E99"/>
    <w:rsid w:val="003E16DB"/>
    <w:rsid w:val="00407230"/>
    <w:rsid w:val="00420B67"/>
    <w:rsid w:val="00445205"/>
    <w:rsid w:val="004736AD"/>
    <w:rsid w:val="00495714"/>
    <w:rsid w:val="004A7F3C"/>
    <w:rsid w:val="004D61E9"/>
    <w:rsid w:val="004E3D0C"/>
    <w:rsid w:val="004F3FC3"/>
    <w:rsid w:val="004F547E"/>
    <w:rsid w:val="005004EC"/>
    <w:rsid w:val="00502823"/>
    <w:rsid w:val="005342DB"/>
    <w:rsid w:val="00554E16"/>
    <w:rsid w:val="00555512"/>
    <w:rsid w:val="00557AD5"/>
    <w:rsid w:val="005D04BB"/>
    <w:rsid w:val="00614624"/>
    <w:rsid w:val="00614CAE"/>
    <w:rsid w:val="006422E9"/>
    <w:rsid w:val="0067285C"/>
    <w:rsid w:val="006D2927"/>
    <w:rsid w:val="00761FA9"/>
    <w:rsid w:val="007C3DA7"/>
    <w:rsid w:val="007E086B"/>
    <w:rsid w:val="007E0E3A"/>
    <w:rsid w:val="008C5D4A"/>
    <w:rsid w:val="00971BBD"/>
    <w:rsid w:val="00995B4E"/>
    <w:rsid w:val="009D07A2"/>
    <w:rsid w:val="009F43D8"/>
    <w:rsid w:val="00A03F8A"/>
    <w:rsid w:val="00A22F0F"/>
    <w:rsid w:val="00A46A2A"/>
    <w:rsid w:val="00A505F3"/>
    <w:rsid w:val="00A92142"/>
    <w:rsid w:val="00AC420E"/>
    <w:rsid w:val="00AD1D72"/>
    <w:rsid w:val="00B66CE6"/>
    <w:rsid w:val="00B74F61"/>
    <w:rsid w:val="00B915FC"/>
    <w:rsid w:val="00BD5D01"/>
    <w:rsid w:val="00C2701E"/>
    <w:rsid w:val="00C63251"/>
    <w:rsid w:val="00CA6E99"/>
    <w:rsid w:val="00CC3581"/>
    <w:rsid w:val="00CD6275"/>
    <w:rsid w:val="00D0085C"/>
    <w:rsid w:val="00D3199C"/>
    <w:rsid w:val="00D50926"/>
    <w:rsid w:val="00DF7D76"/>
    <w:rsid w:val="00E5055C"/>
    <w:rsid w:val="00E750D8"/>
    <w:rsid w:val="00EF6D6C"/>
    <w:rsid w:val="00F02A59"/>
    <w:rsid w:val="00F073E9"/>
    <w:rsid w:val="00FA523C"/>
    <w:rsid w:val="00FB502F"/>
    <w:rsid w:val="19BB8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8B1EF"/>
  <w15:docId w15:val="{14A1D6E5-29A8-4204-96CF-C9484AE0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A59"/>
    <w:pPr>
      <w:tabs>
        <w:tab w:val="center" w:pos="4513"/>
        <w:tab w:val="right" w:pos="9026"/>
      </w:tabs>
      <w:spacing w:line="240" w:lineRule="auto"/>
    </w:pPr>
  </w:style>
  <w:style w:type="character" w:customStyle="1" w:styleId="HeaderChar">
    <w:name w:val="Header Char"/>
    <w:basedOn w:val="DefaultParagraphFont"/>
    <w:link w:val="Header"/>
    <w:uiPriority w:val="99"/>
    <w:rsid w:val="00F02A59"/>
  </w:style>
  <w:style w:type="paragraph" w:styleId="Footer">
    <w:name w:val="footer"/>
    <w:basedOn w:val="Normal"/>
    <w:link w:val="FooterChar"/>
    <w:uiPriority w:val="99"/>
    <w:unhideWhenUsed/>
    <w:rsid w:val="00F02A59"/>
    <w:pPr>
      <w:tabs>
        <w:tab w:val="center" w:pos="4513"/>
        <w:tab w:val="right" w:pos="9026"/>
      </w:tabs>
      <w:spacing w:line="240" w:lineRule="auto"/>
    </w:pPr>
  </w:style>
  <w:style w:type="character" w:customStyle="1" w:styleId="FooterChar">
    <w:name w:val="Footer Char"/>
    <w:basedOn w:val="DefaultParagraphFont"/>
    <w:link w:val="Footer"/>
    <w:uiPriority w:val="99"/>
    <w:rsid w:val="00F02A59"/>
  </w:style>
  <w:style w:type="paragraph" w:styleId="BalloonText">
    <w:name w:val="Balloon Text"/>
    <w:basedOn w:val="Normal"/>
    <w:link w:val="BalloonTextChar"/>
    <w:uiPriority w:val="99"/>
    <w:semiHidden/>
    <w:unhideWhenUsed/>
    <w:rsid w:val="00F02A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A59"/>
    <w:rPr>
      <w:rFonts w:ascii="Tahoma" w:hAnsi="Tahoma" w:cs="Tahoma"/>
      <w:sz w:val="16"/>
      <w:szCs w:val="16"/>
    </w:rPr>
  </w:style>
  <w:style w:type="table" w:styleId="TableGrid">
    <w:name w:val="Table Grid"/>
    <w:basedOn w:val="TableNormal"/>
    <w:uiPriority w:val="59"/>
    <w:rsid w:val="00E505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073E9"/>
    <w:pPr>
      <w:widowControl w:val="0"/>
      <w:autoSpaceDE w:val="0"/>
      <w:autoSpaceDN w:val="0"/>
      <w:spacing w:line="240" w:lineRule="auto"/>
      <w:ind w:left="1199" w:hanging="720"/>
    </w:pPr>
    <w:rPr>
      <w:rFonts w:eastAsia="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5" ma:contentTypeDescription="Create a new document." ma:contentTypeScope="" ma:versionID="be33f52b7184b10f6ebaf813ceeee99b">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370abc3cba0e9db5b2935842d9fd04f5"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C22E1-F1CF-4BF1-B114-FA5954807FFC}">
  <ds:schemaRefs>
    <ds:schemaRef ds:uri="http://schemas.microsoft.com/sharepoint/v3/contenttype/forms"/>
  </ds:schemaRefs>
</ds:datastoreItem>
</file>

<file path=customXml/itemProps2.xml><?xml version="1.0" encoding="utf-8"?>
<ds:datastoreItem xmlns:ds="http://schemas.openxmlformats.org/officeDocument/2006/customXml" ds:itemID="{86E54FF8-AC1B-4864-93E5-DAE5959B0051}">
  <ds:schemaRefs>
    <ds:schemaRef ds:uri="http://purl.org/dc/elements/1.1/"/>
    <ds:schemaRef ds:uri="http://schemas.microsoft.com/office/2006/metadata/properties"/>
    <ds:schemaRef ds:uri="ef7bf5d5-fe07-489e-b678-103277e45ea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620d380-3cb8-447b-bfd4-d7569fc13b34"/>
    <ds:schemaRef ds:uri="http://www.w3.org/XML/1998/namespace"/>
    <ds:schemaRef ds:uri="http://purl.org/dc/dcmitype/"/>
  </ds:schemaRefs>
</ds:datastoreItem>
</file>

<file path=customXml/itemProps3.xml><?xml version="1.0" encoding="utf-8"?>
<ds:datastoreItem xmlns:ds="http://schemas.openxmlformats.org/officeDocument/2006/customXml" ds:itemID="{AEFE19E1-2C54-4D23-92D3-5555BEEFB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Policy.dotx</Template>
  <TotalTime>1</TotalTime>
  <Pages>2</Pages>
  <Words>770</Words>
  <Characters>4389</Characters>
  <Application>Microsoft Office Word</Application>
  <DocSecurity>4</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Hewitt</dc:creator>
  <cp:lastModifiedBy>Adam Hewitt</cp:lastModifiedBy>
  <cp:revision>2</cp:revision>
  <cp:lastPrinted>2017-04-22T17:35:00Z</cp:lastPrinted>
  <dcterms:created xsi:type="dcterms:W3CDTF">2020-08-19T12:12:00Z</dcterms:created>
  <dcterms:modified xsi:type="dcterms:W3CDTF">2020-08-19T12:12:00Z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